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FB" w:rsidRPr="009E00F4" w:rsidRDefault="008F3057" w:rsidP="00841AA4">
      <w:pPr>
        <w:jc w:val="both"/>
        <w:rPr>
          <w:rFonts w:ascii="Segoe UI" w:hAnsi="Segoe UI" w:cs="Segoe UI"/>
          <w:sz w:val="24"/>
          <w:szCs w:val="24"/>
          <w:lang w:val="en-US"/>
        </w:rPr>
      </w:pPr>
      <w:r w:rsidRPr="009E00F4">
        <w:rPr>
          <w:rFonts w:ascii="Segoe UI" w:hAnsi="Segoe UI" w:cs="Segoe UI"/>
          <w:sz w:val="24"/>
          <w:szCs w:val="24"/>
          <w:lang w:val="en-US"/>
        </w:rPr>
        <w:t xml:space="preserve"> </w:t>
      </w:r>
    </w:p>
    <w:p w:rsidR="00A10925" w:rsidRPr="009E00F4" w:rsidRDefault="00A10925" w:rsidP="00A10925">
      <w:pPr>
        <w:jc w:val="center"/>
        <w:rPr>
          <w:rFonts w:asciiTheme="minorHAnsi" w:hAnsiTheme="minorHAnsi" w:cs="Segoe UI"/>
          <w:i/>
          <w:sz w:val="24"/>
          <w:szCs w:val="24"/>
          <w:lang w:val="en-US"/>
        </w:rPr>
      </w:pPr>
      <w:r w:rsidRPr="009E00F4">
        <w:rPr>
          <w:rFonts w:asciiTheme="minorHAnsi" w:hAnsiTheme="minorHAnsi" w:cs="Segoe UI"/>
          <w:i/>
          <w:sz w:val="24"/>
          <w:szCs w:val="24"/>
          <w:lang w:val="en-US"/>
        </w:rPr>
        <w:t>PRESS STATEMENT</w:t>
      </w:r>
    </w:p>
    <w:p w:rsidR="00A10925" w:rsidRPr="009E00F4" w:rsidRDefault="00A10925" w:rsidP="00841AA4">
      <w:pPr>
        <w:jc w:val="both"/>
        <w:rPr>
          <w:rFonts w:ascii="Segoe UI" w:hAnsi="Segoe UI" w:cs="Segoe UI"/>
          <w:sz w:val="24"/>
          <w:szCs w:val="24"/>
          <w:lang w:val="en-US"/>
        </w:rPr>
      </w:pPr>
    </w:p>
    <w:p w:rsidR="00A10925" w:rsidRPr="009E00F4" w:rsidRDefault="00A10925" w:rsidP="00A10925">
      <w:pPr>
        <w:jc w:val="center"/>
        <w:rPr>
          <w:sz w:val="24"/>
          <w:szCs w:val="24"/>
          <w:lang w:val="fr-BE"/>
        </w:rPr>
      </w:pPr>
      <w:r w:rsidRPr="009E00F4">
        <w:rPr>
          <w:rFonts w:ascii="Calibri" w:hAnsi="Calibri"/>
          <w:b/>
          <w:bCs/>
          <w:sz w:val="24"/>
          <w:szCs w:val="24"/>
          <w:lang w:val="en-US"/>
        </w:rPr>
        <w:t>Europe’s booming online ad industry accounts for 1.4 million jobs, € 100 billion of Gross Val</w:t>
      </w:r>
      <w:r w:rsidR="00BC2399">
        <w:rPr>
          <w:rFonts w:ascii="Calibri" w:hAnsi="Calibri"/>
          <w:b/>
          <w:bCs/>
          <w:sz w:val="24"/>
          <w:szCs w:val="24"/>
          <w:lang w:val="en-US"/>
        </w:rPr>
        <w:t>ue Added (GVA)*, new study</w:t>
      </w:r>
      <w:r w:rsidRPr="009E00F4">
        <w:rPr>
          <w:rFonts w:ascii="Calibri" w:hAnsi="Calibri"/>
          <w:b/>
          <w:bCs/>
          <w:sz w:val="24"/>
          <w:szCs w:val="24"/>
          <w:lang w:val="en-US"/>
        </w:rPr>
        <w:t xml:space="preserve"> reports</w:t>
      </w:r>
    </w:p>
    <w:p w:rsidR="00A10925" w:rsidRPr="009E00F4" w:rsidRDefault="00A10925" w:rsidP="00A10925">
      <w:pPr>
        <w:rPr>
          <w:sz w:val="24"/>
          <w:szCs w:val="24"/>
        </w:rPr>
      </w:pPr>
      <w:r w:rsidRPr="009E00F4">
        <w:rPr>
          <w:rFonts w:ascii="Calibri" w:hAnsi="Calibri"/>
          <w:sz w:val="24"/>
          <w:szCs w:val="24"/>
          <w:lang w:val="en-US"/>
        </w:rPr>
        <w:t> </w:t>
      </w:r>
    </w:p>
    <w:p w:rsidR="00A10925" w:rsidRPr="009E00F4" w:rsidRDefault="00A10925" w:rsidP="00A10925">
      <w:pPr>
        <w:rPr>
          <w:sz w:val="24"/>
          <w:szCs w:val="24"/>
        </w:rPr>
      </w:pPr>
      <w:r w:rsidRPr="009E00F4">
        <w:rPr>
          <w:rFonts w:ascii="Calibri" w:hAnsi="Calibri"/>
          <w:sz w:val="24"/>
          <w:szCs w:val="24"/>
          <w:lang w:val="en-US"/>
        </w:rPr>
        <w:t>Brussels, BELGIUM, November 25 - Online advertising has expanded from a nascent industry into a powerhouse over the past decade and a half.  It now generates over a million jobs in the EU-28 economy, and contributes more than € 100 billion of gross value</w:t>
      </w:r>
      <w:r w:rsidR="00BC2399">
        <w:rPr>
          <w:rFonts w:ascii="Calibri" w:hAnsi="Calibri"/>
          <w:sz w:val="24"/>
          <w:szCs w:val="24"/>
          <w:lang w:val="en-US"/>
        </w:rPr>
        <w:t xml:space="preserve"> added (GVA)*. The figures are </w:t>
      </w:r>
      <w:r w:rsidRPr="009E00F4">
        <w:rPr>
          <w:rFonts w:ascii="Calibri" w:hAnsi="Calibri"/>
          <w:sz w:val="24"/>
          <w:szCs w:val="24"/>
          <w:lang w:val="en-US"/>
        </w:rPr>
        <w:t xml:space="preserve">estimates </w:t>
      </w:r>
      <w:r w:rsidR="00BC2399">
        <w:rPr>
          <w:rFonts w:ascii="Calibri" w:hAnsi="Calibri"/>
          <w:sz w:val="24"/>
          <w:szCs w:val="24"/>
          <w:lang w:val="en-US"/>
        </w:rPr>
        <w:t>published today in a study</w:t>
      </w:r>
      <w:r w:rsidRPr="009E00F4">
        <w:rPr>
          <w:rFonts w:ascii="Calibri" w:hAnsi="Calibri"/>
          <w:sz w:val="24"/>
          <w:szCs w:val="24"/>
          <w:lang w:val="en-US"/>
        </w:rPr>
        <w:t xml:space="preserve"> produced by IHS and sponsored by IAB Europe, “Paving the way: online advertising in the European economy”.</w:t>
      </w:r>
    </w:p>
    <w:p w:rsidR="00A10925" w:rsidRPr="009E00F4" w:rsidRDefault="00A10925" w:rsidP="00A10925">
      <w:pPr>
        <w:rPr>
          <w:sz w:val="24"/>
          <w:szCs w:val="24"/>
        </w:rPr>
      </w:pPr>
      <w:r w:rsidRPr="009E00F4">
        <w:rPr>
          <w:rFonts w:ascii="Calibri" w:hAnsi="Calibri"/>
          <w:sz w:val="24"/>
          <w:szCs w:val="24"/>
          <w:lang w:val="en-US"/>
        </w:rPr>
        <w:t> </w:t>
      </w:r>
    </w:p>
    <w:p w:rsidR="00A10925" w:rsidRPr="009E00F4" w:rsidRDefault="00BC2399" w:rsidP="00A10925">
      <w:pPr>
        <w:rPr>
          <w:rFonts w:ascii="Calibri" w:hAnsi="Calibri"/>
          <w:sz w:val="24"/>
          <w:szCs w:val="24"/>
          <w:lang w:val="en-US"/>
        </w:rPr>
      </w:pPr>
      <w:r>
        <w:rPr>
          <w:rFonts w:ascii="Calibri" w:hAnsi="Calibri"/>
          <w:sz w:val="24"/>
          <w:szCs w:val="24"/>
          <w:lang w:val="en-US"/>
        </w:rPr>
        <w:t xml:space="preserve">The study </w:t>
      </w:r>
      <w:r w:rsidR="00A10925" w:rsidRPr="009E00F4">
        <w:rPr>
          <w:rFonts w:ascii="Calibri" w:hAnsi="Calibri"/>
          <w:sz w:val="24"/>
          <w:szCs w:val="24"/>
          <w:lang w:val="en-US"/>
        </w:rPr>
        <w:t>represents the first serious attempt to detail online advertising’s contribution to the overall EU economy measured in jobs.</w:t>
      </w:r>
    </w:p>
    <w:p w:rsidR="00A10925" w:rsidRPr="009E00F4" w:rsidRDefault="00A10925" w:rsidP="00A10925">
      <w:pPr>
        <w:rPr>
          <w:rFonts w:ascii="Calibri" w:eastAsia="Calibri" w:hAnsi="Calibri"/>
          <w:sz w:val="24"/>
          <w:szCs w:val="24"/>
          <w:lang w:val="fr-BE"/>
        </w:rPr>
      </w:pPr>
    </w:p>
    <w:p w:rsidR="00A10925" w:rsidRPr="009E00F4" w:rsidRDefault="00A10925" w:rsidP="00A10925">
      <w:pPr>
        <w:rPr>
          <w:rFonts w:ascii="Calibri" w:hAnsi="Calibri"/>
          <w:sz w:val="24"/>
          <w:szCs w:val="24"/>
          <w:lang w:val="en-US"/>
        </w:rPr>
      </w:pPr>
      <w:r w:rsidRPr="009E00F4">
        <w:rPr>
          <w:rFonts w:ascii="Calibri" w:hAnsi="Calibri"/>
          <w:sz w:val="24"/>
          <w:szCs w:val="24"/>
          <w:lang w:val="en-US"/>
        </w:rPr>
        <w:t xml:space="preserve">Online advertising generated € 30.7 billion of revenue for European publishers in 2014, nearly a third of total advertising revenue.  Looking purely at digital publishing (as opposed to traditional and digital combined), advertising is by far the most important source for funding journalistic content, providing 75% of all online revenues. </w:t>
      </w:r>
    </w:p>
    <w:p w:rsidR="00A10925" w:rsidRPr="009E00F4" w:rsidRDefault="00A10925" w:rsidP="00A10925">
      <w:pPr>
        <w:rPr>
          <w:rFonts w:ascii="Calibri" w:hAnsi="Calibri"/>
          <w:color w:val="1F497D"/>
          <w:sz w:val="24"/>
          <w:szCs w:val="24"/>
          <w:lang w:val="en-US"/>
        </w:rPr>
      </w:pPr>
      <w:r w:rsidRPr="009E00F4">
        <w:rPr>
          <w:rFonts w:ascii="Calibri" w:hAnsi="Calibri"/>
          <w:sz w:val="24"/>
          <w:szCs w:val="24"/>
          <w:lang w:val="en-US"/>
        </w:rPr>
        <w:t> </w:t>
      </w:r>
    </w:p>
    <w:p w:rsidR="00A10925" w:rsidRPr="009E00F4" w:rsidRDefault="00A10925" w:rsidP="00A10925">
      <w:pPr>
        <w:rPr>
          <w:sz w:val="24"/>
          <w:szCs w:val="24"/>
          <w:lang w:val="en-US"/>
        </w:rPr>
      </w:pPr>
      <w:r w:rsidRPr="009E00F4">
        <w:rPr>
          <w:rFonts w:ascii="Calibri" w:hAnsi="Calibri"/>
          <w:sz w:val="24"/>
          <w:szCs w:val="24"/>
        </w:rPr>
        <w:t>Similarly, the buoyant mobile content market depends on advertising. In 2015, advertising replaced paid-for app revenues as the top revenue source.</w:t>
      </w:r>
    </w:p>
    <w:p w:rsidR="00A10925" w:rsidRPr="009E00F4" w:rsidRDefault="00A10925" w:rsidP="00A10925">
      <w:pPr>
        <w:textAlignment w:val="baseline"/>
        <w:rPr>
          <w:sz w:val="24"/>
          <w:szCs w:val="24"/>
          <w:lang w:val="en-US"/>
        </w:rPr>
      </w:pPr>
      <w:r w:rsidRPr="009E00F4">
        <w:rPr>
          <w:rFonts w:ascii="Calibri" w:hAnsi="Calibri"/>
          <w:sz w:val="24"/>
          <w:szCs w:val="24"/>
          <w:lang w:val="en-US"/>
        </w:rPr>
        <w:t> </w:t>
      </w:r>
    </w:p>
    <w:p w:rsidR="00A10925" w:rsidRPr="009E00F4" w:rsidRDefault="00A10925" w:rsidP="00A10925">
      <w:pPr>
        <w:rPr>
          <w:sz w:val="24"/>
          <w:szCs w:val="24"/>
          <w:lang w:val="fr-BE"/>
        </w:rPr>
      </w:pPr>
      <w:r w:rsidRPr="009E00F4">
        <w:rPr>
          <w:rFonts w:ascii="Calibri" w:hAnsi="Calibri"/>
          <w:sz w:val="24"/>
          <w:szCs w:val="24"/>
          <w:lang w:val="en-US"/>
        </w:rPr>
        <w:t>Digital is now the second largest advertising sector in Europe, behind only television. By the end of 2015, it is predicted to pull ahead of TV in at least the most advanced EU markets.</w:t>
      </w:r>
    </w:p>
    <w:p w:rsidR="00A10925" w:rsidRPr="009E00F4" w:rsidRDefault="00A10925" w:rsidP="00A10925">
      <w:pPr>
        <w:rPr>
          <w:sz w:val="24"/>
          <w:szCs w:val="24"/>
        </w:rPr>
      </w:pPr>
      <w:r w:rsidRPr="009E00F4">
        <w:rPr>
          <w:rFonts w:ascii="Calibri" w:hAnsi="Calibri"/>
          <w:sz w:val="24"/>
          <w:szCs w:val="24"/>
          <w:lang w:val="en-US"/>
        </w:rPr>
        <w:t> </w:t>
      </w:r>
    </w:p>
    <w:p w:rsidR="00A10925" w:rsidRPr="009E00F4" w:rsidRDefault="00A10E88" w:rsidP="00A10925">
      <w:pPr>
        <w:rPr>
          <w:sz w:val="24"/>
          <w:szCs w:val="24"/>
        </w:rPr>
      </w:pPr>
      <w:r>
        <w:rPr>
          <w:rFonts w:ascii="Calibri" w:hAnsi="Calibri"/>
          <w:sz w:val="24"/>
          <w:szCs w:val="24"/>
          <w:lang w:val="en-US"/>
        </w:rPr>
        <w:t>By funding the Internet, online</w:t>
      </w:r>
      <w:r w:rsidR="00A10925" w:rsidRPr="009E00F4">
        <w:rPr>
          <w:rFonts w:ascii="Calibri" w:hAnsi="Calibri"/>
          <w:sz w:val="24"/>
          <w:szCs w:val="24"/>
          <w:lang w:val="en-US"/>
        </w:rPr>
        <w:t xml:space="preserve"> advertising provides European consumers with a wide range of educational, scientific, informational and entertainment services at little or no cost.</w:t>
      </w:r>
    </w:p>
    <w:p w:rsidR="00A10925" w:rsidRPr="009E00F4" w:rsidRDefault="00A10925" w:rsidP="00A10925">
      <w:pPr>
        <w:rPr>
          <w:sz w:val="24"/>
          <w:szCs w:val="24"/>
        </w:rPr>
      </w:pPr>
      <w:r w:rsidRPr="009E00F4">
        <w:rPr>
          <w:rFonts w:ascii="Calibri" w:hAnsi="Calibri"/>
          <w:sz w:val="24"/>
          <w:szCs w:val="24"/>
          <w:lang w:val="en-US"/>
        </w:rPr>
        <w:t> </w:t>
      </w:r>
    </w:p>
    <w:p w:rsidR="00A10925" w:rsidRPr="009E00F4" w:rsidRDefault="00A10925" w:rsidP="00A10925">
      <w:pPr>
        <w:rPr>
          <w:sz w:val="24"/>
          <w:szCs w:val="24"/>
        </w:rPr>
      </w:pPr>
      <w:r w:rsidRPr="009E00F4">
        <w:rPr>
          <w:rFonts w:ascii="Calibri" w:hAnsi="Calibri"/>
          <w:sz w:val="24"/>
          <w:szCs w:val="24"/>
        </w:rPr>
        <w:t>Online advertising also acts as an incubator for high-end data analytics and other digital skills that can then be deployed elsewhere in the economy.  “As advertising becomes increasingly data-driven and technology-centric, the sector is at the forefront of hiring and nurturing talent that possesses the skills to transform and future-proof other industries”, said Townsend Feehan, CEO of IAB Europe.</w:t>
      </w:r>
    </w:p>
    <w:p w:rsidR="00A10925" w:rsidRPr="009E00F4" w:rsidRDefault="00A10925" w:rsidP="00A10925">
      <w:pPr>
        <w:rPr>
          <w:sz w:val="24"/>
          <w:szCs w:val="24"/>
        </w:rPr>
      </w:pPr>
      <w:r w:rsidRPr="009E00F4">
        <w:rPr>
          <w:rFonts w:ascii="Calibri" w:hAnsi="Calibri"/>
          <w:sz w:val="24"/>
          <w:szCs w:val="24"/>
          <w:lang w:val="en-US"/>
        </w:rPr>
        <w:t> </w:t>
      </w:r>
    </w:p>
    <w:p w:rsidR="00A10925" w:rsidRPr="00D627F0" w:rsidRDefault="00A10925" w:rsidP="00A10925">
      <w:pPr>
        <w:rPr>
          <w:sz w:val="24"/>
          <w:szCs w:val="24"/>
        </w:rPr>
      </w:pPr>
      <w:r w:rsidRPr="009E00F4">
        <w:rPr>
          <w:rFonts w:ascii="Calibri" w:hAnsi="Calibri"/>
          <w:sz w:val="24"/>
          <w:szCs w:val="24"/>
          <w:lang w:val="en-US"/>
        </w:rPr>
        <w:t xml:space="preserve">Some of these skills are those that are required to deliver a new way of buying and selling online advertising – “programmatic” – an umbrella term for automated transactional mechanisms using data and software.  </w:t>
      </w:r>
      <w:r w:rsidRPr="00D627F0">
        <w:rPr>
          <w:rFonts w:ascii="Calibri" w:hAnsi="Calibri"/>
          <w:sz w:val="24"/>
          <w:szCs w:val="24"/>
          <w:lang w:val="en-US"/>
        </w:rPr>
        <w:t>“Programmatic has emerged as a key growth area, and Europe has already shown that it can produce world-leading talent in this space”, noted</w:t>
      </w:r>
      <w:r w:rsidR="00D627F0" w:rsidRPr="00D627F0">
        <w:rPr>
          <w:rFonts w:ascii="Calibri" w:hAnsi="Calibri"/>
          <w:sz w:val="24"/>
          <w:szCs w:val="24"/>
          <w:lang w:val="en-US"/>
        </w:rPr>
        <w:t xml:space="preserve"> John Wittesaele, Managing Director, EMEA for GroupM </w:t>
      </w:r>
      <w:r w:rsidR="00423AEE">
        <w:rPr>
          <w:rFonts w:ascii="Calibri" w:hAnsi="Calibri"/>
          <w:sz w:val="24"/>
          <w:szCs w:val="24"/>
          <w:lang w:val="en-US"/>
        </w:rPr>
        <w:t xml:space="preserve">Connect </w:t>
      </w:r>
      <w:r w:rsidR="00D627F0" w:rsidRPr="00D627F0">
        <w:rPr>
          <w:rFonts w:ascii="Calibri" w:hAnsi="Calibri"/>
          <w:sz w:val="24"/>
          <w:szCs w:val="24"/>
          <w:lang w:val="en-US"/>
        </w:rPr>
        <w:t>and IAB Europe Board Member.</w:t>
      </w:r>
    </w:p>
    <w:p w:rsidR="00A10925" w:rsidRPr="00D627F0" w:rsidRDefault="00A10925" w:rsidP="00A10925">
      <w:pPr>
        <w:rPr>
          <w:sz w:val="24"/>
          <w:szCs w:val="24"/>
        </w:rPr>
      </w:pPr>
      <w:r w:rsidRPr="00D627F0">
        <w:rPr>
          <w:rFonts w:ascii="Calibri" w:hAnsi="Calibri"/>
          <w:sz w:val="24"/>
          <w:szCs w:val="24"/>
          <w:lang w:val="en-US"/>
        </w:rPr>
        <w:t> </w:t>
      </w:r>
    </w:p>
    <w:p w:rsidR="00A10925" w:rsidRPr="009E00F4" w:rsidRDefault="00A10E88" w:rsidP="00A10925">
      <w:pPr>
        <w:rPr>
          <w:sz w:val="24"/>
          <w:szCs w:val="24"/>
        </w:rPr>
      </w:pPr>
      <w:r>
        <w:rPr>
          <w:rFonts w:ascii="Calibri" w:hAnsi="Calibri"/>
          <w:sz w:val="24"/>
          <w:szCs w:val="24"/>
          <w:lang w:val="en-US"/>
        </w:rPr>
        <w:t>In t</w:t>
      </w:r>
      <w:r w:rsidR="00BC2399">
        <w:rPr>
          <w:rFonts w:ascii="Calibri" w:hAnsi="Calibri"/>
          <w:sz w:val="24"/>
          <w:szCs w:val="24"/>
          <w:lang w:val="en-US"/>
        </w:rPr>
        <w:t>he study</w:t>
      </w:r>
      <w:r>
        <w:rPr>
          <w:rFonts w:ascii="Calibri" w:hAnsi="Calibri"/>
          <w:sz w:val="24"/>
          <w:szCs w:val="24"/>
          <w:lang w:val="en-US"/>
        </w:rPr>
        <w:t>, IAB Europe</w:t>
      </w:r>
      <w:r w:rsidR="00A10925" w:rsidRPr="009E00F4">
        <w:rPr>
          <w:rFonts w:ascii="Calibri" w:hAnsi="Calibri"/>
          <w:sz w:val="24"/>
          <w:szCs w:val="24"/>
          <w:lang w:val="en-US"/>
        </w:rPr>
        <w:t xml:space="preserve"> makes recommendations for policy-makers seeking to protect the benefits accruing to users from the advertising-funded Internet</w:t>
      </w:r>
      <w:r>
        <w:rPr>
          <w:rFonts w:ascii="Calibri" w:hAnsi="Calibri"/>
          <w:sz w:val="24"/>
          <w:szCs w:val="24"/>
          <w:lang w:val="en-US"/>
        </w:rPr>
        <w:t>,</w:t>
      </w:r>
      <w:r w:rsidR="00A10925" w:rsidRPr="009E00F4">
        <w:rPr>
          <w:rFonts w:ascii="Calibri" w:hAnsi="Calibri"/>
          <w:sz w:val="24"/>
          <w:szCs w:val="24"/>
          <w:lang w:val="en-US"/>
        </w:rPr>
        <w:t xml:space="preserve"> and digital innovation in Europe.  These</w:t>
      </w:r>
      <w:r>
        <w:rPr>
          <w:rFonts w:ascii="Calibri" w:hAnsi="Calibri"/>
          <w:sz w:val="24"/>
          <w:szCs w:val="24"/>
          <w:lang w:val="en-US"/>
        </w:rPr>
        <w:t xml:space="preserve"> recommendations</w:t>
      </w:r>
      <w:r w:rsidR="00A10925" w:rsidRPr="009E00F4">
        <w:rPr>
          <w:rFonts w:ascii="Calibri" w:hAnsi="Calibri"/>
          <w:sz w:val="24"/>
          <w:szCs w:val="24"/>
          <w:lang w:val="en-US"/>
        </w:rPr>
        <w:t xml:space="preserve"> include a call for data protection rules that match </w:t>
      </w:r>
      <w:r w:rsidR="00A10925" w:rsidRPr="009E00F4">
        <w:rPr>
          <w:rFonts w:ascii="Calibri" w:hAnsi="Calibri"/>
          <w:sz w:val="24"/>
          <w:szCs w:val="24"/>
          <w:lang w:val="en-US"/>
        </w:rPr>
        <w:lastRenderedPageBreak/>
        <w:t>regulatory scrutiny to actual risk to consumers</w:t>
      </w:r>
      <w:r>
        <w:rPr>
          <w:rFonts w:ascii="Calibri" w:hAnsi="Calibri"/>
          <w:sz w:val="24"/>
          <w:szCs w:val="24"/>
          <w:lang w:val="en-US"/>
        </w:rPr>
        <w:t xml:space="preserve"> better than the texts currently under negotiation between the EU institutions</w:t>
      </w:r>
      <w:r w:rsidR="00A10925" w:rsidRPr="009E00F4">
        <w:rPr>
          <w:rFonts w:ascii="Calibri" w:hAnsi="Calibri"/>
          <w:sz w:val="24"/>
          <w:szCs w:val="24"/>
          <w:lang w:val="en-US"/>
        </w:rPr>
        <w:t>.</w:t>
      </w:r>
    </w:p>
    <w:p w:rsidR="00A10925" w:rsidRPr="009E00F4" w:rsidRDefault="00A10925" w:rsidP="00A10925">
      <w:pPr>
        <w:rPr>
          <w:sz w:val="24"/>
          <w:szCs w:val="24"/>
        </w:rPr>
      </w:pPr>
      <w:r w:rsidRPr="009E00F4">
        <w:rPr>
          <w:rFonts w:ascii="Calibri" w:hAnsi="Calibri"/>
          <w:sz w:val="24"/>
          <w:szCs w:val="24"/>
          <w:lang w:val="en-US"/>
        </w:rPr>
        <w:t> </w:t>
      </w:r>
    </w:p>
    <w:p w:rsidR="00A10925" w:rsidRPr="009E00F4" w:rsidRDefault="00A10925" w:rsidP="00A10925">
      <w:pPr>
        <w:rPr>
          <w:sz w:val="24"/>
          <w:szCs w:val="24"/>
        </w:rPr>
      </w:pPr>
      <w:r w:rsidRPr="009E00F4">
        <w:rPr>
          <w:rFonts w:ascii="Calibri" w:hAnsi="Calibri"/>
          <w:sz w:val="24"/>
          <w:szCs w:val="24"/>
          <w:lang w:val="en-US"/>
        </w:rPr>
        <w:t xml:space="preserve">The </w:t>
      </w:r>
      <w:r w:rsidR="003416AE">
        <w:rPr>
          <w:rFonts w:ascii="Calibri" w:hAnsi="Calibri"/>
          <w:sz w:val="24"/>
          <w:szCs w:val="24"/>
          <w:lang w:val="en-US"/>
        </w:rPr>
        <w:t xml:space="preserve">complete report is available </w:t>
      </w:r>
      <w:hyperlink r:id="rId7" w:history="1">
        <w:r w:rsidR="003416AE" w:rsidRPr="003416AE">
          <w:rPr>
            <w:rStyle w:val="Hyperlink"/>
            <w:rFonts w:ascii="Calibri" w:hAnsi="Calibri"/>
            <w:sz w:val="24"/>
            <w:szCs w:val="24"/>
            <w:lang w:val="en-US"/>
          </w:rPr>
          <w:t>here</w:t>
        </w:r>
      </w:hyperlink>
      <w:r w:rsidRPr="003416AE">
        <w:rPr>
          <w:rFonts w:ascii="Calibri" w:hAnsi="Calibri"/>
          <w:sz w:val="24"/>
          <w:szCs w:val="24"/>
          <w:lang w:val="en-US"/>
        </w:rPr>
        <w:t>.</w:t>
      </w:r>
    </w:p>
    <w:p w:rsidR="00A10925" w:rsidRPr="009E00F4" w:rsidRDefault="00A10925" w:rsidP="00A10925">
      <w:pPr>
        <w:rPr>
          <w:sz w:val="24"/>
          <w:szCs w:val="24"/>
        </w:rPr>
      </w:pPr>
      <w:r w:rsidRPr="009E00F4">
        <w:rPr>
          <w:rFonts w:ascii="Calibri" w:hAnsi="Calibri"/>
          <w:sz w:val="24"/>
          <w:szCs w:val="24"/>
          <w:lang w:val="en-US"/>
        </w:rPr>
        <w:t> </w:t>
      </w:r>
    </w:p>
    <w:p w:rsidR="00A10925" w:rsidRPr="009E00F4" w:rsidRDefault="00A10925" w:rsidP="00A10925">
      <w:pPr>
        <w:rPr>
          <w:sz w:val="24"/>
          <w:szCs w:val="24"/>
        </w:rPr>
      </w:pPr>
      <w:r w:rsidRPr="009E00F4">
        <w:rPr>
          <w:rFonts w:ascii="Calibri" w:hAnsi="Calibri"/>
          <w:b/>
          <w:bCs/>
          <w:sz w:val="24"/>
          <w:szCs w:val="24"/>
          <w:lang w:val="en-US"/>
        </w:rPr>
        <w:t>Media Contact:</w:t>
      </w:r>
    </w:p>
    <w:p w:rsidR="00122960" w:rsidRDefault="00122960" w:rsidP="00A10925">
      <w:pPr>
        <w:rPr>
          <w:rFonts w:ascii="Calibri" w:hAnsi="Calibri"/>
          <w:sz w:val="24"/>
          <w:szCs w:val="24"/>
          <w:lang w:val="en-US"/>
        </w:rPr>
      </w:pPr>
      <w:r>
        <w:rPr>
          <w:rFonts w:ascii="Calibri" w:hAnsi="Calibri"/>
          <w:sz w:val="24"/>
          <w:szCs w:val="24"/>
          <w:lang w:val="en-US"/>
        </w:rPr>
        <w:t>Townsend Feehan</w:t>
      </w:r>
    </w:p>
    <w:p w:rsidR="00A10925" w:rsidRPr="009E00F4" w:rsidRDefault="00122960" w:rsidP="00A10925">
      <w:pPr>
        <w:rPr>
          <w:sz w:val="24"/>
          <w:szCs w:val="24"/>
        </w:rPr>
      </w:pPr>
      <w:r>
        <w:rPr>
          <w:rFonts w:ascii="Calibri" w:hAnsi="Calibri"/>
          <w:sz w:val="24"/>
          <w:szCs w:val="24"/>
          <w:lang w:val="en-US"/>
        </w:rPr>
        <w:t>IAB E</w:t>
      </w:r>
      <w:r w:rsidR="00A10925" w:rsidRPr="009E00F4">
        <w:rPr>
          <w:rFonts w:ascii="Calibri" w:hAnsi="Calibri"/>
          <w:sz w:val="24"/>
          <w:szCs w:val="24"/>
          <w:lang w:val="en-US"/>
        </w:rPr>
        <w:t>urope</w:t>
      </w:r>
    </w:p>
    <w:p w:rsidR="00A10925" w:rsidRPr="009E00F4" w:rsidRDefault="00122960" w:rsidP="00A10925">
      <w:pPr>
        <w:rPr>
          <w:sz w:val="24"/>
          <w:szCs w:val="24"/>
        </w:rPr>
      </w:pPr>
      <w:r>
        <w:rPr>
          <w:rFonts w:ascii="Calibri" w:hAnsi="Calibri"/>
          <w:sz w:val="24"/>
          <w:szCs w:val="24"/>
        </w:rPr>
        <w:t>Telephone: 32 478 275 074</w:t>
      </w:r>
    </w:p>
    <w:p w:rsidR="00A10925" w:rsidRPr="009E00F4" w:rsidRDefault="00A10925" w:rsidP="00A10925">
      <w:pPr>
        <w:rPr>
          <w:sz w:val="24"/>
          <w:szCs w:val="24"/>
        </w:rPr>
      </w:pPr>
      <w:r w:rsidRPr="009E00F4">
        <w:rPr>
          <w:rFonts w:ascii="Calibri" w:hAnsi="Calibri"/>
          <w:sz w:val="24"/>
          <w:szCs w:val="24"/>
        </w:rPr>
        <w:t> </w:t>
      </w:r>
    </w:p>
    <w:p w:rsidR="00A10925" w:rsidRPr="003416AE" w:rsidRDefault="00A10925" w:rsidP="003416AE">
      <w:pPr>
        <w:spacing w:before="100" w:after="100"/>
        <w:ind w:right="96"/>
        <w:rPr>
          <w:rFonts w:ascii="Calibri" w:hAnsi="Calibri"/>
          <w:sz w:val="24"/>
          <w:szCs w:val="24"/>
        </w:rPr>
      </w:pPr>
      <w:r w:rsidRPr="009E00F4">
        <w:rPr>
          <w:rFonts w:ascii="Calibri" w:hAnsi="Calibri"/>
          <w:sz w:val="24"/>
          <w:szCs w:val="24"/>
          <w:lang w:val="en-US"/>
        </w:rPr>
        <w:t xml:space="preserve">*The term « gross value added » denotes </w:t>
      </w:r>
      <w:r w:rsidR="003416AE">
        <w:rPr>
          <w:rFonts w:ascii="Calibri" w:hAnsi="Calibri"/>
          <w:sz w:val="24"/>
          <w:szCs w:val="24"/>
        </w:rPr>
        <w:t xml:space="preserve">a firm’s turnover </w:t>
      </w:r>
      <w:r w:rsidRPr="009E00F4">
        <w:rPr>
          <w:rFonts w:ascii="Calibri" w:hAnsi="Calibri"/>
          <w:sz w:val="24"/>
          <w:szCs w:val="24"/>
        </w:rPr>
        <w:t xml:space="preserve">minus what it pays its suppliers. The GVA of all of the firms in a given industry can be added up. The total sum across the </w:t>
      </w:r>
      <w:r w:rsidRPr="005C5DB0">
        <w:rPr>
          <w:rFonts w:ascii="Calibri" w:hAnsi="Calibri"/>
          <w:i/>
          <w:sz w:val="24"/>
          <w:szCs w:val="24"/>
        </w:rPr>
        <w:t>economy</w:t>
      </w:r>
      <w:r w:rsidRPr="009E00F4">
        <w:rPr>
          <w:rFonts w:ascii="Calibri" w:hAnsi="Calibri"/>
          <w:sz w:val="24"/>
          <w:szCs w:val="24"/>
        </w:rPr>
        <w:t xml:space="preserve"> – that is, adding up all industries – is roughly equivalent to the economy’s gross domestic product or GDP (GDP is equivalent to the sum of all industries’ GVA plus taxes </w:t>
      </w:r>
      <w:r w:rsidR="005C5DB0">
        <w:rPr>
          <w:rFonts w:ascii="Calibri" w:hAnsi="Calibri"/>
          <w:sz w:val="24"/>
          <w:szCs w:val="24"/>
        </w:rPr>
        <w:t xml:space="preserve">and </w:t>
      </w:r>
      <w:r w:rsidRPr="009E00F4">
        <w:rPr>
          <w:rFonts w:ascii="Calibri" w:hAnsi="Calibri"/>
          <w:sz w:val="24"/>
          <w:szCs w:val="24"/>
        </w:rPr>
        <w:t>minus subsidies).</w:t>
      </w:r>
      <w:r w:rsidR="005C5DB0">
        <w:rPr>
          <w:rFonts w:ascii="Calibri" w:hAnsi="Calibri"/>
          <w:sz w:val="24"/>
          <w:szCs w:val="24"/>
          <w:lang w:val="en-US"/>
        </w:rPr>
        <w:t xml:space="preserve"> A further explanation of the term may be found </w:t>
      </w:r>
      <w:hyperlink r:id="rId8" w:history="1">
        <w:r w:rsidR="005C5DB0" w:rsidRPr="005C5DB0">
          <w:rPr>
            <w:rStyle w:val="Hyperlink"/>
            <w:rFonts w:ascii="Calibri" w:hAnsi="Calibri"/>
            <w:sz w:val="24"/>
            <w:szCs w:val="24"/>
            <w:lang w:val="en-US"/>
          </w:rPr>
          <w:t>here</w:t>
        </w:r>
      </w:hyperlink>
      <w:r w:rsidR="005C5DB0">
        <w:rPr>
          <w:rFonts w:ascii="Calibri" w:hAnsi="Calibri"/>
          <w:sz w:val="24"/>
          <w:szCs w:val="24"/>
          <w:lang w:val="en-US"/>
        </w:rPr>
        <w:t>.</w:t>
      </w:r>
    </w:p>
    <w:p w:rsidR="009E00F4" w:rsidRPr="009E00F4" w:rsidRDefault="009E00F4" w:rsidP="00542BAB">
      <w:pPr>
        <w:spacing w:line="360" w:lineRule="auto"/>
        <w:rPr>
          <w:rFonts w:asciiTheme="minorHAnsi" w:hAnsiTheme="minorHAnsi" w:cs="Arial"/>
          <w:b/>
          <w:sz w:val="24"/>
          <w:szCs w:val="24"/>
          <w:lang w:val="fr-BE"/>
        </w:rPr>
      </w:pPr>
      <w:bookmarkStart w:id="0" w:name="_GoBack"/>
      <w:bookmarkEnd w:id="0"/>
    </w:p>
    <w:p w:rsidR="00542BAB" w:rsidRPr="009E00F4" w:rsidRDefault="00542BAB" w:rsidP="00542BAB">
      <w:pPr>
        <w:spacing w:line="360" w:lineRule="auto"/>
        <w:rPr>
          <w:rFonts w:asciiTheme="minorHAnsi" w:hAnsiTheme="minorHAnsi" w:cs="Arial"/>
          <w:b/>
          <w:i/>
          <w:sz w:val="24"/>
          <w:szCs w:val="24"/>
          <w:lang w:val="fr-BE"/>
        </w:rPr>
      </w:pPr>
      <w:r w:rsidRPr="009E00F4">
        <w:rPr>
          <w:rFonts w:asciiTheme="minorHAnsi" w:hAnsiTheme="minorHAnsi" w:cs="Arial"/>
          <w:b/>
          <w:i/>
          <w:sz w:val="24"/>
          <w:szCs w:val="24"/>
          <w:lang w:val="fr-BE"/>
        </w:rPr>
        <w:t>About IAB Europe</w:t>
      </w:r>
    </w:p>
    <w:p w:rsidR="009E00F4" w:rsidRDefault="00542BAB" w:rsidP="00542BAB">
      <w:pPr>
        <w:widowControl w:val="0"/>
        <w:autoSpaceDE w:val="0"/>
        <w:autoSpaceDN w:val="0"/>
        <w:adjustRightInd w:val="0"/>
        <w:spacing w:line="360" w:lineRule="auto"/>
        <w:rPr>
          <w:rFonts w:asciiTheme="minorHAnsi" w:hAnsiTheme="minorHAnsi" w:cs="Arial"/>
          <w:i/>
          <w:sz w:val="24"/>
          <w:szCs w:val="24"/>
        </w:rPr>
      </w:pPr>
      <w:r w:rsidRPr="009E00F4">
        <w:rPr>
          <w:rFonts w:asciiTheme="minorHAnsi" w:hAnsiTheme="minorHAnsi" w:cs="Arial"/>
          <w:i/>
          <w:sz w:val="24"/>
          <w:szCs w:val="24"/>
        </w:rPr>
        <w:t>IAB Europe is the voice of digital business and the leading European-level industry association for the interactive advertising ecosystem. Its mission is to promote th</w:t>
      </w:r>
      <w:r w:rsidR="00A10E88">
        <w:rPr>
          <w:rFonts w:asciiTheme="minorHAnsi" w:hAnsiTheme="minorHAnsi" w:cs="Arial"/>
          <w:i/>
          <w:sz w:val="24"/>
          <w:szCs w:val="24"/>
        </w:rPr>
        <w:t xml:space="preserve">e development of this </w:t>
      </w:r>
      <w:r w:rsidRPr="009E00F4">
        <w:rPr>
          <w:rFonts w:asciiTheme="minorHAnsi" w:hAnsiTheme="minorHAnsi" w:cs="Arial"/>
          <w:i/>
          <w:sz w:val="24"/>
          <w:szCs w:val="24"/>
        </w:rPr>
        <w:t>innovative sector by shaping the regulatory environment, investing in research and education, and developing and facilitating the uptake of business standards. Together with its members – companies and national trade associations – IAB Europe represents over 5,500 organisations</w:t>
      </w:r>
      <w:r w:rsidR="009E00F4">
        <w:rPr>
          <w:rFonts w:asciiTheme="minorHAnsi" w:hAnsiTheme="minorHAnsi" w:cs="Arial"/>
          <w:i/>
          <w:sz w:val="24"/>
          <w:szCs w:val="24"/>
        </w:rPr>
        <w:t>.</w:t>
      </w:r>
    </w:p>
    <w:p w:rsidR="00542BAB" w:rsidRPr="009E00F4" w:rsidRDefault="00542BAB" w:rsidP="00542BAB">
      <w:pPr>
        <w:widowControl w:val="0"/>
        <w:autoSpaceDE w:val="0"/>
        <w:autoSpaceDN w:val="0"/>
        <w:adjustRightInd w:val="0"/>
        <w:spacing w:line="360" w:lineRule="auto"/>
        <w:rPr>
          <w:rFonts w:asciiTheme="minorHAnsi" w:hAnsiTheme="minorHAnsi" w:cs="Arial"/>
          <w:sz w:val="24"/>
          <w:szCs w:val="24"/>
        </w:rPr>
      </w:pPr>
      <w:r w:rsidRPr="009E00F4">
        <w:rPr>
          <w:rFonts w:asciiTheme="minorHAnsi" w:hAnsiTheme="minorHAnsi" w:cs="Arial"/>
          <w:i/>
          <w:sz w:val="24"/>
          <w:szCs w:val="24"/>
        </w:rPr>
        <w:t xml:space="preserve"> </w:t>
      </w:r>
      <w:r w:rsidRPr="009E00F4">
        <w:rPr>
          <w:rFonts w:asciiTheme="minorHAnsi" w:hAnsiTheme="minorHAnsi" w:cs="Arial"/>
          <w:i/>
          <w:sz w:val="24"/>
          <w:szCs w:val="24"/>
        </w:rPr>
        <w:br/>
      </w:r>
      <w:hyperlink r:id="rId9" w:history="1">
        <w:r w:rsidRPr="009E00F4">
          <w:rPr>
            <w:rFonts w:asciiTheme="minorHAnsi" w:hAnsiTheme="minorHAnsi" w:cs="Arial"/>
            <w:sz w:val="24"/>
            <w:szCs w:val="24"/>
          </w:rPr>
          <w:t>www.iabeurope.eu</w:t>
        </w:r>
      </w:hyperlink>
      <w:r w:rsidRPr="009E00F4">
        <w:rPr>
          <w:rFonts w:asciiTheme="minorHAnsi" w:hAnsiTheme="minorHAnsi" w:cs="Arial"/>
          <w:sz w:val="24"/>
          <w:szCs w:val="24"/>
        </w:rPr>
        <w:t xml:space="preserve">  </w:t>
      </w:r>
      <w:r w:rsidRPr="009E00F4">
        <w:rPr>
          <w:rFonts w:asciiTheme="minorHAnsi" w:hAnsiTheme="minorHAnsi" w:cs="Arial"/>
          <w:noProof/>
          <w:sz w:val="24"/>
          <w:szCs w:val="24"/>
          <w:lang w:eastAsia="en-GB"/>
        </w:rPr>
        <w:drawing>
          <wp:inline distT="0" distB="0" distL="0" distR="0" wp14:anchorId="226E894C" wp14:editId="0595FE2E">
            <wp:extent cx="142875" cy="105603"/>
            <wp:effectExtent l="19050" t="0" r="9525" b="0"/>
            <wp:docPr id="4" name="Image 3"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line image 3"/>
                    <pic:cNvPicPr>
                      <a:picLocks noChangeAspect="1" noChangeArrowheads="1"/>
                    </pic:cNvPicPr>
                  </pic:nvPicPr>
                  <pic:blipFill>
                    <a:blip r:embed="rId10"/>
                    <a:srcRect/>
                    <a:stretch>
                      <a:fillRect/>
                    </a:stretch>
                  </pic:blipFill>
                  <pic:spPr bwMode="auto">
                    <a:xfrm>
                      <a:off x="0" y="0"/>
                      <a:ext cx="147978" cy="109375"/>
                    </a:xfrm>
                    <a:prstGeom prst="rect">
                      <a:avLst/>
                    </a:prstGeom>
                    <a:noFill/>
                    <a:ln w="9525">
                      <a:noFill/>
                      <a:miter lim="800000"/>
                      <a:headEnd/>
                      <a:tailEnd/>
                    </a:ln>
                  </pic:spPr>
                </pic:pic>
              </a:graphicData>
            </a:graphic>
          </wp:inline>
        </w:drawing>
      </w:r>
      <w:r w:rsidRPr="009E00F4">
        <w:rPr>
          <w:rFonts w:asciiTheme="minorHAnsi" w:hAnsiTheme="minorHAnsi" w:cs="Arial"/>
          <w:sz w:val="24"/>
          <w:szCs w:val="24"/>
        </w:rPr>
        <w:t xml:space="preserve"> </w:t>
      </w:r>
      <w:hyperlink r:id="rId11" w:history="1">
        <w:r w:rsidRPr="009E00F4">
          <w:rPr>
            <w:rStyle w:val="Hyperlink"/>
            <w:rFonts w:asciiTheme="minorHAnsi" w:hAnsiTheme="minorHAnsi" w:cs="Arial"/>
            <w:sz w:val="24"/>
            <w:szCs w:val="24"/>
          </w:rPr>
          <w:t>@</w:t>
        </w:r>
        <w:proofErr w:type="spellStart"/>
        <w:r w:rsidRPr="009E00F4">
          <w:rPr>
            <w:rStyle w:val="Hyperlink"/>
            <w:rFonts w:asciiTheme="minorHAnsi" w:hAnsiTheme="minorHAnsi" w:cs="Arial"/>
            <w:sz w:val="24"/>
            <w:szCs w:val="24"/>
          </w:rPr>
          <w:t>IABEurope</w:t>
        </w:r>
        <w:proofErr w:type="spellEnd"/>
        <w:r w:rsidRPr="009E00F4">
          <w:rPr>
            <w:rStyle w:val="Hyperlink"/>
            <w:rFonts w:asciiTheme="minorHAnsi" w:hAnsiTheme="minorHAnsi" w:cs="Arial"/>
            <w:sz w:val="24"/>
            <w:szCs w:val="24"/>
          </w:rPr>
          <w:t xml:space="preserve"> </w:t>
        </w:r>
      </w:hyperlink>
      <w:r w:rsidRPr="009E00F4">
        <w:rPr>
          <w:rFonts w:asciiTheme="minorHAnsi" w:hAnsiTheme="minorHAnsi" w:cs="Arial"/>
          <w:sz w:val="24"/>
          <w:szCs w:val="24"/>
        </w:rPr>
        <w:t xml:space="preserve"> </w:t>
      </w:r>
      <w:r w:rsidRPr="009E00F4">
        <w:rPr>
          <w:rFonts w:asciiTheme="minorHAnsi" w:hAnsiTheme="minorHAnsi" w:cs="Arial"/>
          <w:noProof/>
          <w:sz w:val="24"/>
          <w:szCs w:val="24"/>
          <w:lang w:eastAsia="en-GB"/>
        </w:rPr>
        <w:drawing>
          <wp:inline distT="0" distB="0" distL="0" distR="0" wp14:anchorId="6644EED2" wp14:editId="7D8ACC65">
            <wp:extent cx="142875" cy="142875"/>
            <wp:effectExtent l="0" t="0" r="9525" b="9525"/>
            <wp:docPr id="12" name="Picture 6" descr="http://www.people-onthego.com/Portals/74033/images/linkedin_ico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http://www.people-onthego.com/Portals/74033/images/linkedin_icon.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063" cy="143063"/>
                    </a:xfrm>
                    <a:prstGeom prst="rect">
                      <a:avLst/>
                    </a:prstGeom>
                    <a:noFill/>
                    <a:extLst/>
                  </pic:spPr>
                </pic:pic>
              </a:graphicData>
            </a:graphic>
          </wp:inline>
        </w:drawing>
      </w:r>
      <w:r w:rsidRPr="009E00F4">
        <w:rPr>
          <w:rFonts w:asciiTheme="minorHAnsi" w:hAnsiTheme="minorHAnsi" w:cs="Arial"/>
          <w:sz w:val="24"/>
          <w:szCs w:val="24"/>
        </w:rPr>
        <w:t xml:space="preserve"> </w:t>
      </w:r>
      <w:hyperlink r:id="rId14" w:history="1">
        <w:r w:rsidRPr="009E00F4">
          <w:rPr>
            <w:rStyle w:val="Hyperlink"/>
            <w:rFonts w:asciiTheme="minorHAnsi" w:hAnsiTheme="minorHAnsi" w:cs="Arial"/>
            <w:sz w:val="24"/>
            <w:szCs w:val="24"/>
          </w:rPr>
          <w:t>IAB Europe</w:t>
        </w:r>
      </w:hyperlink>
    </w:p>
    <w:p w:rsidR="00A10925" w:rsidRPr="009E00F4" w:rsidRDefault="00A10925" w:rsidP="00841AA4">
      <w:pPr>
        <w:jc w:val="both"/>
        <w:rPr>
          <w:rFonts w:asciiTheme="minorHAnsi" w:hAnsiTheme="minorHAnsi" w:cs="Segoe UI"/>
          <w:sz w:val="24"/>
          <w:szCs w:val="24"/>
          <w:lang w:val="en-US"/>
        </w:rPr>
      </w:pPr>
    </w:p>
    <w:sectPr w:rsidR="00A10925" w:rsidRPr="009E00F4" w:rsidSect="00D741F3">
      <w:headerReference w:type="default" r:id="rId15"/>
      <w:footerReference w:type="default" r:id="rId16"/>
      <w:type w:val="continuous"/>
      <w:pgSz w:w="11907" w:h="16840" w:code="9"/>
      <w:pgMar w:top="567" w:right="1440" w:bottom="1134"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F86" w:rsidRDefault="005A5F86" w:rsidP="00BD25B7">
      <w:r>
        <w:separator/>
      </w:r>
    </w:p>
  </w:endnote>
  <w:endnote w:type="continuationSeparator" w:id="0">
    <w:p w:rsidR="005A5F86" w:rsidRDefault="005A5F86" w:rsidP="00BD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TOT">
    <w:altName w:val="Courier New"/>
    <w:panose1 w:val="00000000000000000000"/>
    <w:charset w:val="00"/>
    <w:family w:val="decorative"/>
    <w:notTrueType/>
    <w:pitch w:val="variable"/>
    <w:sig w:usb0="00000001"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65" w:rsidRDefault="00C67165" w:rsidP="00BD25B7">
    <w:pPr>
      <w:pStyle w:val="BasicParagraph"/>
      <w:jc w:val="center"/>
      <w:rPr>
        <w:rFonts w:ascii="FuturaTOT" w:hAnsi="FuturaTOT" w:cs="FuturaTOT"/>
        <w:color w:val="0089FF"/>
        <w:spacing w:val="2"/>
        <w:sz w:val="16"/>
        <w:szCs w:val="16"/>
      </w:rPr>
    </w:pPr>
    <w:r>
      <w:rPr>
        <w:rFonts w:ascii="FuturaTOT" w:hAnsi="FuturaTOT" w:cs="FuturaTOT"/>
        <w:color w:val="0089FF"/>
        <w:spacing w:val="2"/>
        <w:sz w:val="16"/>
        <w:szCs w:val="16"/>
      </w:rPr>
      <w:t>www.iabeurope.eu</w:t>
    </w:r>
  </w:p>
  <w:p w:rsidR="00C67165" w:rsidRDefault="00C67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F86" w:rsidRDefault="005A5F86" w:rsidP="00BD25B7">
      <w:r>
        <w:separator/>
      </w:r>
    </w:p>
  </w:footnote>
  <w:footnote w:type="continuationSeparator" w:id="0">
    <w:p w:rsidR="005A5F86" w:rsidRDefault="005A5F86" w:rsidP="00BD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939"/>
      <w:gridCol w:w="2088"/>
    </w:tblGrid>
    <w:tr w:rsidR="00C67165" w:rsidTr="007A3A40">
      <w:tc>
        <w:tcPr>
          <w:tcW w:w="7470" w:type="dxa"/>
          <w:vAlign w:val="bottom"/>
        </w:tcPr>
        <w:p w:rsidR="00C67165" w:rsidRPr="007A3A40" w:rsidRDefault="00C67165" w:rsidP="0012285B">
          <w:pPr>
            <w:pStyle w:val="BasicParagraph"/>
            <w:jc w:val="right"/>
            <w:rPr>
              <w:rFonts w:ascii="FuturaTOT" w:hAnsi="FuturaTOT" w:cs="FuturaTOT"/>
              <w:color w:val="0089FF"/>
              <w:spacing w:val="2"/>
              <w:sz w:val="16"/>
              <w:szCs w:val="16"/>
            </w:rPr>
          </w:pPr>
          <w:r w:rsidRPr="007A3A40">
            <w:rPr>
              <w:rFonts w:ascii="FuturaTOT" w:hAnsi="FuturaTOT" w:cs="FuturaTOT"/>
              <w:color w:val="0089FF"/>
              <w:spacing w:val="2"/>
              <w:sz w:val="16"/>
              <w:szCs w:val="16"/>
            </w:rPr>
            <w:t>Interactive Advertising Bureau</w:t>
          </w:r>
          <w:r>
            <w:rPr>
              <w:rFonts w:ascii="FuturaTOT" w:hAnsi="FuturaTOT" w:cs="FuturaTOT"/>
              <w:color w:val="0089FF"/>
              <w:spacing w:val="2"/>
              <w:sz w:val="16"/>
              <w:szCs w:val="16"/>
            </w:rPr>
            <w:t xml:space="preserve"> </w:t>
          </w:r>
          <w:proofErr w:type="spellStart"/>
          <w:r>
            <w:rPr>
              <w:rFonts w:ascii="FuturaTOT" w:hAnsi="FuturaTOT" w:cs="FuturaTOT"/>
              <w:color w:val="0089FF"/>
              <w:spacing w:val="2"/>
              <w:sz w:val="16"/>
              <w:szCs w:val="16"/>
            </w:rPr>
            <w:t>AiSBL</w:t>
          </w:r>
          <w:proofErr w:type="spellEnd"/>
        </w:p>
        <w:p w:rsidR="00C67165" w:rsidRPr="007A3A40" w:rsidRDefault="00610BCB" w:rsidP="0012285B">
          <w:pPr>
            <w:pStyle w:val="BasicParagraph"/>
            <w:jc w:val="right"/>
            <w:rPr>
              <w:rFonts w:ascii="FuturaTOT" w:hAnsi="FuturaTOT" w:cs="FuturaTOT"/>
              <w:color w:val="0089FF"/>
              <w:spacing w:val="2"/>
              <w:sz w:val="16"/>
              <w:szCs w:val="16"/>
            </w:rPr>
          </w:pPr>
          <w:proofErr w:type="spellStart"/>
          <w:r>
            <w:rPr>
              <w:rFonts w:ascii="FuturaTOT" w:hAnsi="FuturaTOT" w:cs="FuturaTOT"/>
              <w:color w:val="0089FF"/>
              <w:spacing w:val="2"/>
              <w:sz w:val="16"/>
              <w:szCs w:val="16"/>
            </w:rPr>
            <w:t>Rond</w:t>
          </w:r>
          <w:proofErr w:type="spellEnd"/>
          <w:r>
            <w:rPr>
              <w:rFonts w:ascii="FuturaTOT" w:hAnsi="FuturaTOT" w:cs="FuturaTOT"/>
              <w:color w:val="0089FF"/>
              <w:spacing w:val="2"/>
              <w:sz w:val="16"/>
              <w:szCs w:val="16"/>
            </w:rPr>
            <w:t xml:space="preserve"> Point Schuman 11</w:t>
          </w:r>
          <w:r w:rsidR="00C67165" w:rsidRPr="007A3A40">
            <w:rPr>
              <w:rFonts w:ascii="FuturaTOT" w:hAnsi="FuturaTOT" w:cs="FuturaTOT"/>
              <w:color w:val="0089FF"/>
              <w:spacing w:val="2"/>
              <w:sz w:val="16"/>
              <w:szCs w:val="16"/>
            </w:rPr>
            <w:t xml:space="preserve"> </w:t>
          </w:r>
        </w:p>
        <w:p w:rsidR="00C67165" w:rsidRDefault="00610BCB" w:rsidP="0012285B">
          <w:pPr>
            <w:pStyle w:val="BasicParagraph"/>
            <w:jc w:val="right"/>
            <w:rPr>
              <w:rFonts w:ascii="FuturaTOT" w:hAnsi="FuturaTOT" w:cs="FuturaTOT"/>
              <w:color w:val="0089FF"/>
              <w:spacing w:val="2"/>
              <w:sz w:val="16"/>
              <w:szCs w:val="16"/>
            </w:rPr>
          </w:pPr>
          <w:r>
            <w:rPr>
              <w:rFonts w:ascii="FuturaTOT" w:hAnsi="FuturaTOT" w:cs="FuturaTOT"/>
              <w:color w:val="0089FF"/>
              <w:spacing w:val="2"/>
              <w:sz w:val="16"/>
              <w:szCs w:val="16"/>
            </w:rPr>
            <w:t>104</w:t>
          </w:r>
          <w:r w:rsidR="00C67165" w:rsidRPr="007A3A40">
            <w:rPr>
              <w:rFonts w:ascii="FuturaTOT" w:hAnsi="FuturaTOT" w:cs="FuturaTOT"/>
              <w:color w:val="0089FF"/>
              <w:spacing w:val="2"/>
              <w:sz w:val="16"/>
              <w:szCs w:val="16"/>
            </w:rPr>
            <w:t>0 Brussels – Belgium</w:t>
          </w:r>
        </w:p>
        <w:p w:rsidR="00C67165" w:rsidRPr="007A3A40" w:rsidRDefault="00C67165" w:rsidP="0012285B">
          <w:pPr>
            <w:pStyle w:val="BasicParagraph"/>
            <w:jc w:val="right"/>
            <w:rPr>
              <w:rFonts w:ascii="FuturaTOT" w:hAnsi="FuturaTOT" w:cs="FuturaTOT"/>
              <w:color w:val="0089FF"/>
              <w:spacing w:val="2"/>
              <w:sz w:val="16"/>
              <w:szCs w:val="16"/>
            </w:rPr>
          </w:pPr>
          <w:r>
            <w:rPr>
              <w:rFonts w:ascii="FuturaTOT" w:hAnsi="FuturaTOT" w:cs="FuturaTOT"/>
              <w:color w:val="0089FF"/>
              <w:spacing w:val="2"/>
              <w:sz w:val="16"/>
              <w:szCs w:val="16"/>
            </w:rPr>
            <w:t xml:space="preserve">VAT N° BE </w:t>
          </w:r>
          <w:r w:rsidRPr="00B0745E">
            <w:rPr>
              <w:rFonts w:ascii="FuturaTOT" w:hAnsi="FuturaTOT" w:cs="FuturaTOT"/>
              <w:color w:val="0089FF"/>
              <w:spacing w:val="2"/>
              <w:sz w:val="16"/>
              <w:szCs w:val="16"/>
            </w:rPr>
            <w:t>0812.047.277</w:t>
          </w:r>
        </w:p>
      </w:tc>
      <w:tc>
        <w:tcPr>
          <w:tcW w:w="2106" w:type="dxa"/>
        </w:tcPr>
        <w:p w:rsidR="00C67165" w:rsidRPr="007A3A40" w:rsidRDefault="005B52DA" w:rsidP="007A3A40">
          <w:pPr>
            <w:pStyle w:val="BasicParagraph"/>
            <w:jc w:val="right"/>
            <w:rPr>
              <w:rFonts w:ascii="FuturaTOT" w:hAnsi="FuturaTOT" w:cs="FuturaTOT"/>
              <w:sz w:val="16"/>
              <w:szCs w:val="16"/>
            </w:rPr>
          </w:pPr>
          <w:r>
            <w:rPr>
              <w:rFonts w:ascii="FuturaTOT" w:hAnsi="FuturaTOT" w:cs="FuturaTOT"/>
              <w:noProof/>
              <w:sz w:val="16"/>
              <w:szCs w:val="16"/>
              <w:lang w:val="en-GB" w:eastAsia="en-GB"/>
            </w:rPr>
            <w:drawing>
              <wp:inline distT="0" distB="0" distL="0" distR="0">
                <wp:extent cx="1069340" cy="896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B EUROPE 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97" cy="898624"/>
                        </a:xfrm>
                        <a:prstGeom prst="rect">
                          <a:avLst/>
                        </a:prstGeom>
                      </pic:spPr>
                    </pic:pic>
                  </a:graphicData>
                </a:graphic>
              </wp:inline>
            </w:drawing>
          </w:r>
        </w:p>
      </w:tc>
    </w:tr>
  </w:tbl>
  <w:p w:rsidR="00C67165" w:rsidRDefault="00C67165" w:rsidP="009002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60A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D201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581F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3477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CA89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308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22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A720D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4279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D3A52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97A91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C6220A"/>
    <w:multiLevelType w:val="hybridMultilevel"/>
    <w:tmpl w:val="403CD2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8C7867"/>
    <w:multiLevelType w:val="hybridMultilevel"/>
    <w:tmpl w:val="E8A46D70"/>
    <w:lvl w:ilvl="0" w:tplc="D250DF14">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B7"/>
    <w:rsid w:val="00002175"/>
    <w:rsid w:val="000100BA"/>
    <w:rsid w:val="00012AA4"/>
    <w:rsid w:val="00017AF0"/>
    <w:rsid w:val="00033F02"/>
    <w:rsid w:val="00052880"/>
    <w:rsid w:val="00055743"/>
    <w:rsid w:val="000623F0"/>
    <w:rsid w:val="000671C5"/>
    <w:rsid w:val="000819A4"/>
    <w:rsid w:val="00084FC0"/>
    <w:rsid w:val="000915DC"/>
    <w:rsid w:val="0009555D"/>
    <w:rsid w:val="000A2047"/>
    <w:rsid w:val="000A2103"/>
    <w:rsid w:val="000A3561"/>
    <w:rsid w:val="000D5442"/>
    <w:rsid w:val="000D5D68"/>
    <w:rsid w:val="000E675D"/>
    <w:rsid w:val="000F4509"/>
    <w:rsid w:val="000F7406"/>
    <w:rsid w:val="00113F39"/>
    <w:rsid w:val="001174D5"/>
    <w:rsid w:val="0012285B"/>
    <w:rsid w:val="00122960"/>
    <w:rsid w:val="00126F2E"/>
    <w:rsid w:val="001314C4"/>
    <w:rsid w:val="0013570E"/>
    <w:rsid w:val="00135B8E"/>
    <w:rsid w:val="0014512A"/>
    <w:rsid w:val="00147237"/>
    <w:rsid w:val="001472BF"/>
    <w:rsid w:val="001479C2"/>
    <w:rsid w:val="00151089"/>
    <w:rsid w:val="001527CD"/>
    <w:rsid w:val="00155C34"/>
    <w:rsid w:val="00157B1F"/>
    <w:rsid w:val="00161A76"/>
    <w:rsid w:val="001650EF"/>
    <w:rsid w:val="00166235"/>
    <w:rsid w:val="00167CC3"/>
    <w:rsid w:val="00173D6C"/>
    <w:rsid w:val="001A2084"/>
    <w:rsid w:val="001A5756"/>
    <w:rsid w:val="001A577B"/>
    <w:rsid w:val="001A6DE8"/>
    <w:rsid w:val="001B4787"/>
    <w:rsid w:val="001C402D"/>
    <w:rsid w:val="001E54CE"/>
    <w:rsid w:val="001F1DB0"/>
    <w:rsid w:val="00201C5A"/>
    <w:rsid w:val="00210773"/>
    <w:rsid w:val="002321FB"/>
    <w:rsid w:val="00251091"/>
    <w:rsid w:val="00265F35"/>
    <w:rsid w:val="00270B51"/>
    <w:rsid w:val="00273D64"/>
    <w:rsid w:val="002763F6"/>
    <w:rsid w:val="0028385D"/>
    <w:rsid w:val="002A6932"/>
    <w:rsid w:val="002B02F6"/>
    <w:rsid w:val="002B0425"/>
    <w:rsid w:val="002B0917"/>
    <w:rsid w:val="002E68B9"/>
    <w:rsid w:val="0030396B"/>
    <w:rsid w:val="00323A55"/>
    <w:rsid w:val="00324726"/>
    <w:rsid w:val="0033608F"/>
    <w:rsid w:val="003371B4"/>
    <w:rsid w:val="003416AE"/>
    <w:rsid w:val="00347EEA"/>
    <w:rsid w:val="003508DA"/>
    <w:rsid w:val="003520FF"/>
    <w:rsid w:val="00353A03"/>
    <w:rsid w:val="003619C8"/>
    <w:rsid w:val="00364121"/>
    <w:rsid w:val="0037172E"/>
    <w:rsid w:val="00392194"/>
    <w:rsid w:val="003A1E1B"/>
    <w:rsid w:val="003B47C6"/>
    <w:rsid w:val="003B7234"/>
    <w:rsid w:val="003C55B0"/>
    <w:rsid w:val="003C6A18"/>
    <w:rsid w:val="003D588B"/>
    <w:rsid w:val="003E4AA7"/>
    <w:rsid w:val="003E6763"/>
    <w:rsid w:val="003E7862"/>
    <w:rsid w:val="00416913"/>
    <w:rsid w:val="004175D6"/>
    <w:rsid w:val="0042026E"/>
    <w:rsid w:val="00420DDB"/>
    <w:rsid w:val="00423AEE"/>
    <w:rsid w:val="0044326B"/>
    <w:rsid w:val="0044371D"/>
    <w:rsid w:val="00443FF3"/>
    <w:rsid w:val="00455C6C"/>
    <w:rsid w:val="00463DDE"/>
    <w:rsid w:val="00470183"/>
    <w:rsid w:val="00473596"/>
    <w:rsid w:val="00473F2B"/>
    <w:rsid w:val="0048162F"/>
    <w:rsid w:val="00490222"/>
    <w:rsid w:val="004920A4"/>
    <w:rsid w:val="004A1EA7"/>
    <w:rsid w:val="004A6EF7"/>
    <w:rsid w:val="004B37D2"/>
    <w:rsid w:val="004B4A1D"/>
    <w:rsid w:val="004D6C51"/>
    <w:rsid w:val="004E756D"/>
    <w:rsid w:val="00521A57"/>
    <w:rsid w:val="005303B2"/>
    <w:rsid w:val="00542BAB"/>
    <w:rsid w:val="00554EFB"/>
    <w:rsid w:val="00556408"/>
    <w:rsid w:val="00572A22"/>
    <w:rsid w:val="005772B6"/>
    <w:rsid w:val="005840C5"/>
    <w:rsid w:val="00585C87"/>
    <w:rsid w:val="005A11C6"/>
    <w:rsid w:val="005A5F86"/>
    <w:rsid w:val="005B493C"/>
    <w:rsid w:val="005B52DA"/>
    <w:rsid w:val="005C5DB0"/>
    <w:rsid w:val="005C704A"/>
    <w:rsid w:val="005C7284"/>
    <w:rsid w:val="005C7A63"/>
    <w:rsid w:val="005E17C5"/>
    <w:rsid w:val="005E5076"/>
    <w:rsid w:val="005F155D"/>
    <w:rsid w:val="005F167D"/>
    <w:rsid w:val="005F1978"/>
    <w:rsid w:val="005F29AC"/>
    <w:rsid w:val="00601C79"/>
    <w:rsid w:val="0060201C"/>
    <w:rsid w:val="00604392"/>
    <w:rsid w:val="006048BF"/>
    <w:rsid w:val="00610BCB"/>
    <w:rsid w:val="00613217"/>
    <w:rsid w:val="00623DD2"/>
    <w:rsid w:val="006339A6"/>
    <w:rsid w:val="0066567E"/>
    <w:rsid w:val="006661D0"/>
    <w:rsid w:val="00666C3D"/>
    <w:rsid w:val="006744EC"/>
    <w:rsid w:val="006A3128"/>
    <w:rsid w:val="006B250A"/>
    <w:rsid w:val="006C1567"/>
    <w:rsid w:val="006C61A0"/>
    <w:rsid w:val="006C69CD"/>
    <w:rsid w:val="006E70ED"/>
    <w:rsid w:val="006F69D3"/>
    <w:rsid w:val="006F6F90"/>
    <w:rsid w:val="00701CDF"/>
    <w:rsid w:val="00703AE3"/>
    <w:rsid w:val="00704ED8"/>
    <w:rsid w:val="00714461"/>
    <w:rsid w:val="00723477"/>
    <w:rsid w:val="00755F00"/>
    <w:rsid w:val="00756599"/>
    <w:rsid w:val="00760EFC"/>
    <w:rsid w:val="007641F6"/>
    <w:rsid w:val="007646DC"/>
    <w:rsid w:val="007718B8"/>
    <w:rsid w:val="007770FC"/>
    <w:rsid w:val="007862A0"/>
    <w:rsid w:val="007A1640"/>
    <w:rsid w:val="007A3A40"/>
    <w:rsid w:val="007A4017"/>
    <w:rsid w:val="007B2F67"/>
    <w:rsid w:val="007B68DE"/>
    <w:rsid w:val="007C7E78"/>
    <w:rsid w:val="007D6C2A"/>
    <w:rsid w:val="007E3214"/>
    <w:rsid w:val="007E60E7"/>
    <w:rsid w:val="00814E4E"/>
    <w:rsid w:val="008334ED"/>
    <w:rsid w:val="00841AA4"/>
    <w:rsid w:val="0084459D"/>
    <w:rsid w:val="008568DE"/>
    <w:rsid w:val="00870CB6"/>
    <w:rsid w:val="00872A36"/>
    <w:rsid w:val="008742A6"/>
    <w:rsid w:val="00880ED1"/>
    <w:rsid w:val="00884BF7"/>
    <w:rsid w:val="008900E8"/>
    <w:rsid w:val="008B096F"/>
    <w:rsid w:val="008C6641"/>
    <w:rsid w:val="008D4226"/>
    <w:rsid w:val="008E3602"/>
    <w:rsid w:val="008F3057"/>
    <w:rsid w:val="008F5B1B"/>
    <w:rsid w:val="00900270"/>
    <w:rsid w:val="00905A84"/>
    <w:rsid w:val="00907777"/>
    <w:rsid w:val="009132C7"/>
    <w:rsid w:val="009242E2"/>
    <w:rsid w:val="0092612B"/>
    <w:rsid w:val="00930EF5"/>
    <w:rsid w:val="00933A99"/>
    <w:rsid w:val="00946203"/>
    <w:rsid w:val="009570D2"/>
    <w:rsid w:val="00960A2F"/>
    <w:rsid w:val="00962C85"/>
    <w:rsid w:val="00971C09"/>
    <w:rsid w:val="00992E0B"/>
    <w:rsid w:val="0099707E"/>
    <w:rsid w:val="009A012E"/>
    <w:rsid w:val="009B7C90"/>
    <w:rsid w:val="009C18E7"/>
    <w:rsid w:val="009C6C04"/>
    <w:rsid w:val="009D08CE"/>
    <w:rsid w:val="009E00E2"/>
    <w:rsid w:val="009E00F4"/>
    <w:rsid w:val="009F5A3C"/>
    <w:rsid w:val="00A07AFF"/>
    <w:rsid w:val="00A10925"/>
    <w:rsid w:val="00A10E88"/>
    <w:rsid w:val="00A14CE9"/>
    <w:rsid w:val="00A202D4"/>
    <w:rsid w:val="00A51388"/>
    <w:rsid w:val="00A64D5A"/>
    <w:rsid w:val="00A80441"/>
    <w:rsid w:val="00A9300B"/>
    <w:rsid w:val="00A96C5B"/>
    <w:rsid w:val="00AA1194"/>
    <w:rsid w:val="00AA37C5"/>
    <w:rsid w:val="00AC7ECB"/>
    <w:rsid w:val="00AE1206"/>
    <w:rsid w:val="00B03526"/>
    <w:rsid w:val="00B0745E"/>
    <w:rsid w:val="00B13449"/>
    <w:rsid w:val="00B164EB"/>
    <w:rsid w:val="00B270F1"/>
    <w:rsid w:val="00B27E89"/>
    <w:rsid w:val="00B40CE6"/>
    <w:rsid w:val="00B476D8"/>
    <w:rsid w:val="00B51EDD"/>
    <w:rsid w:val="00B6799E"/>
    <w:rsid w:val="00B84F89"/>
    <w:rsid w:val="00BA3624"/>
    <w:rsid w:val="00BC2399"/>
    <w:rsid w:val="00BD1A67"/>
    <w:rsid w:val="00BD1E13"/>
    <w:rsid w:val="00BD25B7"/>
    <w:rsid w:val="00BE3477"/>
    <w:rsid w:val="00C0394E"/>
    <w:rsid w:val="00C11597"/>
    <w:rsid w:val="00C26580"/>
    <w:rsid w:val="00C35FEC"/>
    <w:rsid w:val="00C400C5"/>
    <w:rsid w:val="00C41C1B"/>
    <w:rsid w:val="00C47A4C"/>
    <w:rsid w:val="00C519B3"/>
    <w:rsid w:val="00C56253"/>
    <w:rsid w:val="00C5660A"/>
    <w:rsid w:val="00C613C1"/>
    <w:rsid w:val="00C63E0C"/>
    <w:rsid w:val="00C67165"/>
    <w:rsid w:val="00C710E1"/>
    <w:rsid w:val="00C77496"/>
    <w:rsid w:val="00C95BE4"/>
    <w:rsid w:val="00CC1077"/>
    <w:rsid w:val="00CC7F8E"/>
    <w:rsid w:val="00CD33C7"/>
    <w:rsid w:val="00CD36C3"/>
    <w:rsid w:val="00CD3A43"/>
    <w:rsid w:val="00CD3FC0"/>
    <w:rsid w:val="00CF0441"/>
    <w:rsid w:val="00CF79E3"/>
    <w:rsid w:val="00D00A4F"/>
    <w:rsid w:val="00D0302A"/>
    <w:rsid w:val="00D05695"/>
    <w:rsid w:val="00D13DA4"/>
    <w:rsid w:val="00D210F8"/>
    <w:rsid w:val="00D225CA"/>
    <w:rsid w:val="00D379C1"/>
    <w:rsid w:val="00D42F70"/>
    <w:rsid w:val="00D44B53"/>
    <w:rsid w:val="00D4585E"/>
    <w:rsid w:val="00D45EC1"/>
    <w:rsid w:val="00D47FB5"/>
    <w:rsid w:val="00D627F0"/>
    <w:rsid w:val="00D63101"/>
    <w:rsid w:val="00D677B4"/>
    <w:rsid w:val="00D73193"/>
    <w:rsid w:val="00D741F3"/>
    <w:rsid w:val="00DA2AFA"/>
    <w:rsid w:val="00DC27D5"/>
    <w:rsid w:val="00DC4684"/>
    <w:rsid w:val="00DC5A29"/>
    <w:rsid w:val="00DD2957"/>
    <w:rsid w:val="00DD38D7"/>
    <w:rsid w:val="00DE1F98"/>
    <w:rsid w:val="00DE633E"/>
    <w:rsid w:val="00DE738E"/>
    <w:rsid w:val="00DF059D"/>
    <w:rsid w:val="00E24218"/>
    <w:rsid w:val="00E2466B"/>
    <w:rsid w:val="00E27AD4"/>
    <w:rsid w:val="00E43B8B"/>
    <w:rsid w:val="00E6026D"/>
    <w:rsid w:val="00E6691A"/>
    <w:rsid w:val="00E83080"/>
    <w:rsid w:val="00E856BF"/>
    <w:rsid w:val="00E9146C"/>
    <w:rsid w:val="00E92EBF"/>
    <w:rsid w:val="00EA2E1F"/>
    <w:rsid w:val="00EA3E6A"/>
    <w:rsid w:val="00EB5B17"/>
    <w:rsid w:val="00ED7EB6"/>
    <w:rsid w:val="00EE504C"/>
    <w:rsid w:val="00EE56D5"/>
    <w:rsid w:val="00EE78CD"/>
    <w:rsid w:val="00EF35FD"/>
    <w:rsid w:val="00F038D6"/>
    <w:rsid w:val="00F312E7"/>
    <w:rsid w:val="00F44D71"/>
    <w:rsid w:val="00F4557E"/>
    <w:rsid w:val="00F462D8"/>
    <w:rsid w:val="00F56826"/>
    <w:rsid w:val="00F62C78"/>
    <w:rsid w:val="00F64B73"/>
    <w:rsid w:val="00F71CE7"/>
    <w:rsid w:val="00F7389B"/>
    <w:rsid w:val="00F757CD"/>
    <w:rsid w:val="00F82A9E"/>
    <w:rsid w:val="00F8333C"/>
    <w:rsid w:val="00F836EE"/>
    <w:rsid w:val="00F96A00"/>
    <w:rsid w:val="00FC3F70"/>
    <w:rsid w:val="00FC5A37"/>
    <w:rsid w:val="00FD428B"/>
    <w:rsid w:val="00FD7278"/>
    <w:rsid w:val="00FE09B3"/>
    <w:rsid w:val="00FE28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CCA468-0813-4EA2-8E89-56182864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88B"/>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5B7"/>
    <w:pPr>
      <w:tabs>
        <w:tab w:val="center" w:pos="4680"/>
        <w:tab w:val="right" w:pos="9360"/>
      </w:tabs>
    </w:pPr>
  </w:style>
  <w:style w:type="character" w:customStyle="1" w:styleId="HeaderChar">
    <w:name w:val="Header Char"/>
    <w:basedOn w:val="DefaultParagraphFont"/>
    <w:link w:val="Header"/>
    <w:uiPriority w:val="99"/>
    <w:rsid w:val="00BD25B7"/>
  </w:style>
  <w:style w:type="paragraph" w:styleId="Footer">
    <w:name w:val="footer"/>
    <w:basedOn w:val="Normal"/>
    <w:link w:val="FooterChar"/>
    <w:uiPriority w:val="99"/>
    <w:unhideWhenUsed/>
    <w:rsid w:val="00BD25B7"/>
    <w:pPr>
      <w:tabs>
        <w:tab w:val="center" w:pos="4680"/>
        <w:tab w:val="right" w:pos="9360"/>
      </w:tabs>
    </w:pPr>
  </w:style>
  <w:style w:type="character" w:customStyle="1" w:styleId="FooterChar">
    <w:name w:val="Footer Char"/>
    <w:basedOn w:val="DefaultParagraphFont"/>
    <w:link w:val="Footer"/>
    <w:uiPriority w:val="99"/>
    <w:rsid w:val="00BD25B7"/>
  </w:style>
  <w:style w:type="paragraph" w:styleId="BalloonText">
    <w:name w:val="Balloon Text"/>
    <w:basedOn w:val="Normal"/>
    <w:link w:val="BalloonTextChar"/>
    <w:uiPriority w:val="99"/>
    <w:semiHidden/>
    <w:unhideWhenUsed/>
    <w:rsid w:val="00BD25B7"/>
    <w:rPr>
      <w:rFonts w:ascii="Tahoma" w:hAnsi="Tahoma" w:cs="Tahoma"/>
      <w:sz w:val="16"/>
      <w:szCs w:val="16"/>
    </w:rPr>
  </w:style>
  <w:style w:type="character" w:customStyle="1" w:styleId="BalloonTextChar">
    <w:name w:val="Balloon Text Char"/>
    <w:link w:val="BalloonText"/>
    <w:uiPriority w:val="99"/>
    <w:semiHidden/>
    <w:rsid w:val="00BD25B7"/>
    <w:rPr>
      <w:rFonts w:ascii="Tahoma" w:hAnsi="Tahoma" w:cs="Tahoma"/>
      <w:sz w:val="16"/>
      <w:szCs w:val="16"/>
    </w:rPr>
  </w:style>
  <w:style w:type="paragraph" w:customStyle="1" w:styleId="NoParagraphStyle">
    <w:name w:val="[No Paragraph Style]"/>
    <w:rsid w:val="00BD25B7"/>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asicParagraph">
    <w:name w:val="[Basic Paragraph]"/>
    <w:basedOn w:val="NoParagraphStyle"/>
    <w:uiPriority w:val="99"/>
    <w:rsid w:val="00BD25B7"/>
  </w:style>
  <w:style w:type="table" w:styleId="TableGrid">
    <w:name w:val="Table Grid"/>
    <w:basedOn w:val="TableNormal"/>
    <w:uiPriority w:val="59"/>
    <w:rsid w:val="00BD2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3D588B"/>
    <w:rPr>
      <w:color w:val="0000FF"/>
      <w:u w:val="single"/>
    </w:rPr>
  </w:style>
  <w:style w:type="paragraph" w:styleId="Title">
    <w:name w:val="Title"/>
    <w:basedOn w:val="Normal"/>
    <w:link w:val="TitleChar"/>
    <w:qFormat/>
    <w:rsid w:val="003D588B"/>
    <w:pPr>
      <w:jc w:val="center"/>
    </w:pPr>
    <w:rPr>
      <w:rFonts w:ascii="Arial" w:hAnsi="Arial" w:cs="Arial"/>
      <w:b/>
      <w:bCs/>
      <w:sz w:val="32"/>
      <w:szCs w:val="32"/>
    </w:rPr>
  </w:style>
  <w:style w:type="character" w:customStyle="1" w:styleId="TitleChar">
    <w:name w:val="Title Char"/>
    <w:link w:val="Title"/>
    <w:rsid w:val="003D588B"/>
    <w:rPr>
      <w:rFonts w:ascii="Arial" w:eastAsia="Times New Roman" w:hAnsi="Arial" w:cs="Arial"/>
      <w:b/>
      <w:bCs/>
      <w:sz w:val="32"/>
      <w:szCs w:val="32"/>
      <w:lang w:val="en-GB"/>
    </w:rPr>
  </w:style>
  <w:style w:type="paragraph" w:customStyle="1" w:styleId="ColorfulList-Accent11">
    <w:name w:val="Colorful List - Accent 11"/>
    <w:basedOn w:val="Normal"/>
    <w:uiPriority w:val="34"/>
    <w:qFormat/>
    <w:rsid w:val="00E856BF"/>
    <w:pPr>
      <w:ind w:left="708"/>
    </w:pPr>
  </w:style>
  <w:style w:type="paragraph" w:customStyle="1" w:styleId="Default">
    <w:name w:val="Default"/>
    <w:basedOn w:val="Normal"/>
    <w:uiPriority w:val="99"/>
    <w:rsid w:val="00DE1F98"/>
    <w:pPr>
      <w:autoSpaceDE w:val="0"/>
      <w:autoSpaceDN w:val="0"/>
    </w:pPr>
    <w:rPr>
      <w:rFonts w:ascii="Tahoma" w:hAnsi="Tahoma" w:cs="Tahoma"/>
      <w:color w:val="000000"/>
      <w:sz w:val="24"/>
      <w:szCs w:val="24"/>
      <w:lang w:val="fr-FR" w:eastAsia="fr-FR"/>
    </w:rPr>
  </w:style>
  <w:style w:type="character" w:customStyle="1" w:styleId="apple-converted-space">
    <w:name w:val="apple-converted-space"/>
    <w:rsid w:val="00A10925"/>
  </w:style>
  <w:style w:type="character" w:styleId="FollowedHyperlink">
    <w:name w:val="FollowedHyperlink"/>
    <w:basedOn w:val="DefaultParagraphFont"/>
    <w:uiPriority w:val="99"/>
    <w:semiHidden/>
    <w:unhideWhenUsed/>
    <w:rsid w:val="00341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5971">
      <w:bodyDiv w:val="1"/>
      <w:marLeft w:val="0"/>
      <w:marRight w:val="0"/>
      <w:marTop w:val="0"/>
      <w:marBottom w:val="0"/>
      <w:divBdr>
        <w:top w:val="none" w:sz="0" w:space="0" w:color="auto"/>
        <w:left w:val="none" w:sz="0" w:space="0" w:color="auto"/>
        <w:bottom w:val="none" w:sz="0" w:space="0" w:color="auto"/>
        <w:right w:val="none" w:sz="0" w:space="0" w:color="auto"/>
      </w:divBdr>
    </w:div>
    <w:div w:id="115607334">
      <w:bodyDiv w:val="1"/>
      <w:marLeft w:val="0"/>
      <w:marRight w:val="0"/>
      <w:marTop w:val="0"/>
      <w:marBottom w:val="0"/>
      <w:divBdr>
        <w:top w:val="none" w:sz="0" w:space="0" w:color="auto"/>
        <w:left w:val="none" w:sz="0" w:space="0" w:color="auto"/>
        <w:bottom w:val="none" w:sz="0" w:space="0" w:color="auto"/>
        <w:right w:val="none" w:sz="0" w:space="0" w:color="auto"/>
      </w:divBdr>
    </w:div>
    <w:div w:id="119735408">
      <w:bodyDiv w:val="1"/>
      <w:marLeft w:val="0"/>
      <w:marRight w:val="0"/>
      <w:marTop w:val="0"/>
      <w:marBottom w:val="0"/>
      <w:divBdr>
        <w:top w:val="none" w:sz="0" w:space="0" w:color="auto"/>
        <w:left w:val="none" w:sz="0" w:space="0" w:color="auto"/>
        <w:bottom w:val="none" w:sz="0" w:space="0" w:color="auto"/>
        <w:right w:val="none" w:sz="0" w:space="0" w:color="auto"/>
      </w:divBdr>
    </w:div>
    <w:div w:id="280379167">
      <w:bodyDiv w:val="1"/>
      <w:marLeft w:val="0"/>
      <w:marRight w:val="0"/>
      <w:marTop w:val="0"/>
      <w:marBottom w:val="0"/>
      <w:divBdr>
        <w:top w:val="none" w:sz="0" w:space="0" w:color="auto"/>
        <w:left w:val="none" w:sz="0" w:space="0" w:color="auto"/>
        <w:bottom w:val="none" w:sz="0" w:space="0" w:color="auto"/>
        <w:right w:val="none" w:sz="0" w:space="0" w:color="auto"/>
      </w:divBdr>
    </w:div>
    <w:div w:id="311760022">
      <w:bodyDiv w:val="1"/>
      <w:marLeft w:val="0"/>
      <w:marRight w:val="0"/>
      <w:marTop w:val="0"/>
      <w:marBottom w:val="0"/>
      <w:divBdr>
        <w:top w:val="none" w:sz="0" w:space="0" w:color="auto"/>
        <w:left w:val="none" w:sz="0" w:space="0" w:color="auto"/>
        <w:bottom w:val="none" w:sz="0" w:space="0" w:color="auto"/>
        <w:right w:val="none" w:sz="0" w:space="0" w:color="auto"/>
      </w:divBdr>
    </w:div>
    <w:div w:id="341469886">
      <w:bodyDiv w:val="1"/>
      <w:marLeft w:val="0"/>
      <w:marRight w:val="0"/>
      <w:marTop w:val="0"/>
      <w:marBottom w:val="0"/>
      <w:divBdr>
        <w:top w:val="none" w:sz="0" w:space="0" w:color="auto"/>
        <w:left w:val="none" w:sz="0" w:space="0" w:color="auto"/>
        <w:bottom w:val="none" w:sz="0" w:space="0" w:color="auto"/>
        <w:right w:val="none" w:sz="0" w:space="0" w:color="auto"/>
      </w:divBdr>
    </w:div>
    <w:div w:id="403380719">
      <w:bodyDiv w:val="1"/>
      <w:marLeft w:val="0"/>
      <w:marRight w:val="0"/>
      <w:marTop w:val="0"/>
      <w:marBottom w:val="0"/>
      <w:divBdr>
        <w:top w:val="none" w:sz="0" w:space="0" w:color="auto"/>
        <w:left w:val="none" w:sz="0" w:space="0" w:color="auto"/>
        <w:bottom w:val="none" w:sz="0" w:space="0" w:color="auto"/>
        <w:right w:val="none" w:sz="0" w:space="0" w:color="auto"/>
      </w:divBdr>
    </w:div>
    <w:div w:id="475297129">
      <w:bodyDiv w:val="1"/>
      <w:marLeft w:val="0"/>
      <w:marRight w:val="0"/>
      <w:marTop w:val="0"/>
      <w:marBottom w:val="0"/>
      <w:divBdr>
        <w:top w:val="none" w:sz="0" w:space="0" w:color="auto"/>
        <w:left w:val="none" w:sz="0" w:space="0" w:color="auto"/>
        <w:bottom w:val="none" w:sz="0" w:space="0" w:color="auto"/>
        <w:right w:val="none" w:sz="0" w:space="0" w:color="auto"/>
      </w:divBdr>
    </w:div>
    <w:div w:id="530267479">
      <w:bodyDiv w:val="1"/>
      <w:marLeft w:val="0"/>
      <w:marRight w:val="0"/>
      <w:marTop w:val="0"/>
      <w:marBottom w:val="0"/>
      <w:divBdr>
        <w:top w:val="none" w:sz="0" w:space="0" w:color="auto"/>
        <w:left w:val="none" w:sz="0" w:space="0" w:color="auto"/>
        <w:bottom w:val="none" w:sz="0" w:space="0" w:color="auto"/>
        <w:right w:val="none" w:sz="0" w:space="0" w:color="auto"/>
      </w:divBdr>
    </w:div>
    <w:div w:id="535854242">
      <w:bodyDiv w:val="1"/>
      <w:marLeft w:val="0"/>
      <w:marRight w:val="0"/>
      <w:marTop w:val="0"/>
      <w:marBottom w:val="0"/>
      <w:divBdr>
        <w:top w:val="none" w:sz="0" w:space="0" w:color="auto"/>
        <w:left w:val="none" w:sz="0" w:space="0" w:color="auto"/>
        <w:bottom w:val="none" w:sz="0" w:space="0" w:color="auto"/>
        <w:right w:val="none" w:sz="0" w:space="0" w:color="auto"/>
      </w:divBdr>
    </w:div>
    <w:div w:id="662200276">
      <w:bodyDiv w:val="1"/>
      <w:marLeft w:val="0"/>
      <w:marRight w:val="0"/>
      <w:marTop w:val="0"/>
      <w:marBottom w:val="0"/>
      <w:divBdr>
        <w:top w:val="none" w:sz="0" w:space="0" w:color="auto"/>
        <w:left w:val="none" w:sz="0" w:space="0" w:color="auto"/>
        <w:bottom w:val="none" w:sz="0" w:space="0" w:color="auto"/>
        <w:right w:val="none" w:sz="0" w:space="0" w:color="auto"/>
      </w:divBdr>
    </w:div>
    <w:div w:id="747465442">
      <w:bodyDiv w:val="1"/>
      <w:marLeft w:val="0"/>
      <w:marRight w:val="0"/>
      <w:marTop w:val="0"/>
      <w:marBottom w:val="0"/>
      <w:divBdr>
        <w:top w:val="none" w:sz="0" w:space="0" w:color="auto"/>
        <w:left w:val="none" w:sz="0" w:space="0" w:color="auto"/>
        <w:bottom w:val="none" w:sz="0" w:space="0" w:color="auto"/>
        <w:right w:val="none" w:sz="0" w:space="0" w:color="auto"/>
      </w:divBdr>
    </w:div>
    <w:div w:id="818882027">
      <w:bodyDiv w:val="1"/>
      <w:marLeft w:val="0"/>
      <w:marRight w:val="0"/>
      <w:marTop w:val="0"/>
      <w:marBottom w:val="0"/>
      <w:divBdr>
        <w:top w:val="none" w:sz="0" w:space="0" w:color="auto"/>
        <w:left w:val="none" w:sz="0" w:space="0" w:color="auto"/>
        <w:bottom w:val="none" w:sz="0" w:space="0" w:color="auto"/>
        <w:right w:val="none" w:sz="0" w:space="0" w:color="auto"/>
      </w:divBdr>
    </w:div>
    <w:div w:id="842430013">
      <w:bodyDiv w:val="1"/>
      <w:marLeft w:val="0"/>
      <w:marRight w:val="0"/>
      <w:marTop w:val="0"/>
      <w:marBottom w:val="0"/>
      <w:divBdr>
        <w:top w:val="none" w:sz="0" w:space="0" w:color="auto"/>
        <w:left w:val="none" w:sz="0" w:space="0" w:color="auto"/>
        <w:bottom w:val="none" w:sz="0" w:space="0" w:color="auto"/>
        <w:right w:val="none" w:sz="0" w:space="0" w:color="auto"/>
      </w:divBdr>
    </w:div>
    <w:div w:id="856968161">
      <w:bodyDiv w:val="1"/>
      <w:marLeft w:val="0"/>
      <w:marRight w:val="0"/>
      <w:marTop w:val="0"/>
      <w:marBottom w:val="0"/>
      <w:divBdr>
        <w:top w:val="none" w:sz="0" w:space="0" w:color="auto"/>
        <w:left w:val="none" w:sz="0" w:space="0" w:color="auto"/>
        <w:bottom w:val="none" w:sz="0" w:space="0" w:color="auto"/>
        <w:right w:val="none" w:sz="0" w:space="0" w:color="auto"/>
      </w:divBdr>
    </w:div>
    <w:div w:id="857816822">
      <w:bodyDiv w:val="1"/>
      <w:marLeft w:val="0"/>
      <w:marRight w:val="0"/>
      <w:marTop w:val="0"/>
      <w:marBottom w:val="0"/>
      <w:divBdr>
        <w:top w:val="none" w:sz="0" w:space="0" w:color="auto"/>
        <w:left w:val="none" w:sz="0" w:space="0" w:color="auto"/>
        <w:bottom w:val="none" w:sz="0" w:space="0" w:color="auto"/>
        <w:right w:val="none" w:sz="0" w:space="0" w:color="auto"/>
      </w:divBdr>
    </w:div>
    <w:div w:id="887687374">
      <w:bodyDiv w:val="1"/>
      <w:marLeft w:val="0"/>
      <w:marRight w:val="0"/>
      <w:marTop w:val="0"/>
      <w:marBottom w:val="0"/>
      <w:divBdr>
        <w:top w:val="none" w:sz="0" w:space="0" w:color="auto"/>
        <w:left w:val="none" w:sz="0" w:space="0" w:color="auto"/>
        <w:bottom w:val="none" w:sz="0" w:space="0" w:color="auto"/>
        <w:right w:val="none" w:sz="0" w:space="0" w:color="auto"/>
      </w:divBdr>
    </w:div>
    <w:div w:id="914781976">
      <w:bodyDiv w:val="1"/>
      <w:marLeft w:val="0"/>
      <w:marRight w:val="0"/>
      <w:marTop w:val="0"/>
      <w:marBottom w:val="0"/>
      <w:divBdr>
        <w:top w:val="none" w:sz="0" w:space="0" w:color="auto"/>
        <w:left w:val="none" w:sz="0" w:space="0" w:color="auto"/>
        <w:bottom w:val="none" w:sz="0" w:space="0" w:color="auto"/>
        <w:right w:val="none" w:sz="0" w:space="0" w:color="auto"/>
      </w:divBdr>
    </w:div>
    <w:div w:id="932591983">
      <w:bodyDiv w:val="1"/>
      <w:marLeft w:val="0"/>
      <w:marRight w:val="0"/>
      <w:marTop w:val="0"/>
      <w:marBottom w:val="0"/>
      <w:divBdr>
        <w:top w:val="none" w:sz="0" w:space="0" w:color="auto"/>
        <w:left w:val="none" w:sz="0" w:space="0" w:color="auto"/>
        <w:bottom w:val="none" w:sz="0" w:space="0" w:color="auto"/>
        <w:right w:val="none" w:sz="0" w:space="0" w:color="auto"/>
      </w:divBdr>
    </w:div>
    <w:div w:id="1042942219">
      <w:bodyDiv w:val="1"/>
      <w:marLeft w:val="0"/>
      <w:marRight w:val="0"/>
      <w:marTop w:val="0"/>
      <w:marBottom w:val="0"/>
      <w:divBdr>
        <w:top w:val="none" w:sz="0" w:space="0" w:color="auto"/>
        <w:left w:val="none" w:sz="0" w:space="0" w:color="auto"/>
        <w:bottom w:val="none" w:sz="0" w:space="0" w:color="auto"/>
        <w:right w:val="none" w:sz="0" w:space="0" w:color="auto"/>
      </w:divBdr>
    </w:div>
    <w:div w:id="1051030756">
      <w:bodyDiv w:val="1"/>
      <w:marLeft w:val="0"/>
      <w:marRight w:val="0"/>
      <w:marTop w:val="0"/>
      <w:marBottom w:val="0"/>
      <w:divBdr>
        <w:top w:val="none" w:sz="0" w:space="0" w:color="auto"/>
        <w:left w:val="none" w:sz="0" w:space="0" w:color="auto"/>
        <w:bottom w:val="none" w:sz="0" w:space="0" w:color="auto"/>
        <w:right w:val="none" w:sz="0" w:space="0" w:color="auto"/>
      </w:divBdr>
    </w:div>
    <w:div w:id="1097218667">
      <w:bodyDiv w:val="1"/>
      <w:marLeft w:val="0"/>
      <w:marRight w:val="0"/>
      <w:marTop w:val="0"/>
      <w:marBottom w:val="0"/>
      <w:divBdr>
        <w:top w:val="none" w:sz="0" w:space="0" w:color="auto"/>
        <w:left w:val="none" w:sz="0" w:space="0" w:color="auto"/>
        <w:bottom w:val="none" w:sz="0" w:space="0" w:color="auto"/>
        <w:right w:val="none" w:sz="0" w:space="0" w:color="auto"/>
      </w:divBdr>
    </w:div>
    <w:div w:id="1272201907">
      <w:bodyDiv w:val="1"/>
      <w:marLeft w:val="0"/>
      <w:marRight w:val="0"/>
      <w:marTop w:val="0"/>
      <w:marBottom w:val="0"/>
      <w:divBdr>
        <w:top w:val="none" w:sz="0" w:space="0" w:color="auto"/>
        <w:left w:val="none" w:sz="0" w:space="0" w:color="auto"/>
        <w:bottom w:val="none" w:sz="0" w:space="0" w:color="auto"/>
        <w:right w:val="none" w:sz="0" w:space="0" w:color="auto"/>
      </w:divBdr>
    </w:div>
    <w:div w:id="1286083091">
      <w:bodyDiv w:val="1"/>
      <w:marLeft w:val="0"/>
      <w:marRight w:val="0"/>
      <w:marTop w:val="0"/>
      <w:marBottom w:val="0"/>
      <w:divBdr>
        <w:top w:val="none" w:sz="0" w:space="0" w:color="auto"/>
        <w:left w:val="none" w:sz="0" w:space="0" w:color="auto"/>
        <w:bottom w:val="none" w:sz="0" w:space="0" w:color="auto"/>
        <w:right w:val="none" w:sz="0" w:space="0" w:color="auto"/>
      </w:divBdr>
    </w:div>
    <w:div w:id="1373655056">
      <w:bodyDiv w:val="1"/>
      <w:marLeft w:val="0"/>
      <w:marRight w:val="0"/>
      <w:marTop w:val="0"/>
      <w:marBottom w:val="0"/>
      <w:divBdr>
        <w:top w:val="none" w:sz="0" w:space="0" w:color="auto"/>
        <w:left w:val="none" w:sz="0" w:space="0" w:color="auto"/>
        <w:bottom w:val="none" w:sz="0" w:space="0" w:color="auto"/>
        <w:right w:val="none" w:sz="0" w:space="0" w:color="auto"/>
      </w:divBdr>
    </w:div>
    <w:div w:id="1386174464">
      <w:bodyDiv w:val="1"/>
      <w:marLeft w:val="0"/>
      <w:marRight w:val="0"/>
      <w:marTop w:val="0"/>
      <w:marBottom w:val="0"/>
      <w:divBdr>
        <w:top w:val="none" w:sz="0" w:space="0" w:color="auto"/>
        <w:left w:val="none" w:sz="0" w:space="0" w:color="auto"/>
        <w:bottom w:val="none" w:sz="0" w:space="0" w:color="auto"/>
        <w:right w:val="none" w:sz="0" w:space="0" w:color="auto"/>
      </w:divBdr>
    </w:div>
    <w:div w:id="1526290745">
      <w:bodyDiv w:val="1"/>
      <w:marLeft w:val="0"/>
      <w:marRight w:val="0"/>
      <w:marTop w:val="0"/>
      <w:marBottom w:val="0"/>
      <w:divBdr>
        <w:top w:val="none" w:sz="0" w:space="0" w:color="auto"/>
        <w:left w:val="none" w:sz="0" w:space="0" w:color="auto"/>
        <w:bottom w:val="none" w:sz="0" w:space="0" w:color="auto"/>
        <w:right w:val="none" w:sz="0" w:space="0" w:color="auto"/>
      </w:divBdr>
    </w:div>
    <w:div w:id="1691837011">
      <w:bodyDiv w:val="1"/>
      <w:marLeft w:val="0"/>
      <w:marRight w:val="0"/>
      <w:marTop w:val="0"/>
      <w:marBottom w:val="0"/>
      <w:divBdr>
        <w:top w:val="none" w:sz="0" w:space="0" w:color="auto"/>
        <w:left w:val="none" w:sz="0" w:space="0" w:color="auto"/>
        <w:bottom w:val="none" w:sz="0" w:space="0" w:color="auto"/>
        <w:right w:val="none" w:sz="0" w:space="0" w:color="auto"/>
      </w:divBdr>
    </w:div>
    <w:div w:id="1849364951">
      <w:bodyDiv w:val="1"/>
      <w:marLeft w:val="0"/>
      <w:marRight w:val="0"/>
      <w:marTop w:val="0"/>
      <w:marBottom w:val="0"/>
      <w:divBdr>
        <w:top w:val="none" w:sz="0" w:space="0" w:color="auto"/>
        <w:left w:val="none" w:sz="0" w:space="0" w:color="auto"/>
        <w:bottom w:val="none" w:sz="0" w:space="0" w:color="auto"/>
        <w:right w:val="none" w:sz="0" w:space="0" w:color="auto"/>
      </w:divBdr>
    </w:div>
    <w:div w:id="1965886992">
      <w:bodyDiv w:val="1"/>
      <w:marLeft w:val="0"/>
      <w:marRight w:val="0"/>
      <w:marTop w:val="0"/>
      <w:marBottom w:val="0"/>
      <w:divBdr>
        <w:top w:val="none" w:sz="0" w:space="0" w:color="auto"/>
        <w:left w:val="none" w:sz="0" w:space="0" w:color="auto"/>
        <w:bottom w:val="none" w:sz="0" w:space="0" w:color="auto"/>
        <w:right w:val="none" w:sz="0" w:space="0" w:color="auto"/>
      </w:divBdr>
    </w:div>
    <w:div w:id="20558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guide-method/method-quality/specific/economy/national-accounts/gva/relationship-gva-and-gdp/gross-value-added-and-gross-domestic-product.htm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abeurope.eu/news/paving-way-how-online-advertising-enables-digital-economy-fu" TargetMode="External"/><Relationship Id="rId12" Type="http://schemas.openxmlformats.org/officeDocument/2006/relationships/hyperlink" Target="http://www.google.co.uk/url?sa=i&amp;rct=j&amp;q=&amp;esrc=s&amp;frm=1&amp;source=images&amp;cd=&amp;cad=rja&amp;docid=wBOfZkfBn0SG8M&amp;tbnid=fgY58TNdLeNYSM:&amp;ved=0CAUQjRw&amp;url=http://www.people-onthego.com/social-media-academy/&amp;ei=aBJ9UpjWJeHN0QXCrYHoCA&amp;bvm=bv.56146854,d.ZG4&amp;psig=AFQjCNGM6z73zDg7OsM13FwgODItOjoBYg&amp;ust=13840148210706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ABEurop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iabeurope.eu/" TargetMode="External"/><Relationship Id="rId14" Type="http://schemas.openxmlformats.org/officeDocument/2006/relationships/hyperlink" Target="https://www.linkedin.com/company/iab-europe?trk=tyah&amp;trkInfo=tarId%3A1401179388381%2Ctas%3AIAB+Europe%2Cidx%3A1-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Invoice</vt:lpstr>
      <vt:lpstr>Invoice</vt:lpstr>
      <vt:lpstr>Invoice</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subject/>
  <dc:creator>Taupinette</dc:creator>
  <cp:keywords/>
  <cp:lastModifiedBy>Marie-Clare Puffett</cp:lastModifiedBy>
  <cp:revision>2</cp:revision>
  <cp:lastPrinted>2015-11-16T09:11:00Z</cp:lastPrinted>
  <dcterms:created xsi:type="dcterms:W3CDTF">2015-11-25T09:30:00Z</dcterms:created>
  <dcterms:modified xsi:type="dcterms:W3CDTF">2015-11-25T09:30:00Z</dcterms:modified>
</cp:coreProperties>
</file>